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Fira Sans Light" w:cs="Fira Sans Light" w:eastAsia="Fira Sans Light" w:hAnsi="Fira Sans Light"/>
          <w:color w:val="666666"/>
          <w:sz w:val="32"/>
          <w:szCs w:val="32"/>
        </w:rPr>
      </w:pPr>
      <w:r w:rsidDel="00000000" w:rsidR="00000000" w:rsidRPr="00000000">
        <w:rPr>
          <w:rFonts w:ascii="Fira Sans Light" w:cs="Fira Sans Light" w:eastAsia="Fira Sans Light" w:hAnsi="Fira Sans Light"/>
          <w:color w:val="666666"/>
          <w:sz w:val="32"/>
          <w:szCs w:val="32"/>
          <w:rtl w:val="0"/>
        </w:rPr>
        <w:t xml:space="preserve">Olympe de Gouges </w:t>
      </w:r>
    </w:p>
    <w:p w:rsidR="00000000" w:rsidDel="00000000" w:rsidP="00000000" w:rsidRDefault="00000000" w:rsidRPr="00000000" w14:paraId="00000002">
      <w:pPr>
        <w:pageBreakBefore w:val="0"/>
        <w:rPr>
          <w:rFonts w:ascii="Fira Sans Light" w:cs="Fira Sans Light" w:eastAsia="Fira Sans Light" w:hAnsi="Fira Sans Light"/>
          <w:i w:val="1"/>
          <w:color w:val="666666"/>
          <w:sz w:val="32"/>
          <w:szCs w:val="32"/>
        </w:rPr>
      </w:pPr>
      <w:r w:rsidDel="00000000" w:rsidR="00000000" w:rsidRPr="00000000">
        <w:rPr>
          <w:rFonts w:ascii="Fira Sans Light" w:cs="Fira Sans Light" w:eastAsia="Fira Sans Light" w:hAnsi="Fira Sans Light"/>
          <w:i w:val="1"/>
          <w:color w:val="666666"/>
          <w:sz w:val="32"/>
          <w:szCs w:val="32"/>
          <w:rtl w:val="0"/>
        </w:rPr>
        <w:t xml:space="preserve">Déclaration des droits de la femme et de la citoyenne </w:t>
      </w:r>
      <w:r w:rsidDel="00000000" w:rsidR="00000000" w:rsidRPr="00000000">
        <w:rPr>
          <w:rFonts w:ascii="Fira Sans Light" w:cs="Fira Sans Light" w:eastAsia="Fira Sans Light" w:hAnsi="Fira Sans Light"/>
          <w:color w:val="666666"/>
          <w:sz w:val="32"/>
          <w:szCs w:val="32"/>
          <w:rtl w:val="0"/>
        </w:rPr>
        <w:t xml:space="preserve">(1791)</w:t>
      </w:r>
      <w:r w:rsidDel="00000000" w:rsidR="00000000" w:rsidRPr="00000000">
        <w:rPr>
          <w:rtl w:val="0"/>
        </w:rPr>
      </w:r>
    </w:p>
    <w:p w:rsidR="00000000" w:rsidDel="00000000" w:rsidP="00000000" w:rsidRDefault="00000000" w:rsidRPr="00000000" w14:paraId="00000003">
      <w:pPr>
        <w:pageBreakBefore w:val="0"/>
        <w:spacing w:line="336" w:lineRule="auto"/>
        <w:jc w:val="center"/>
        <w:rPr>
          <w:color w:val="47a696"/>
          <w:sz w:val="32"/>
          <w:szCs w:val="32"/>
        </w:rPr>
      </w:pPr>
      <w:r w:rsidDel="00000000" w:rsidR="00000000" w:rsidRPr="00000000">
        <w:rPr>
          <w:rtl w:val="0"/>
        </w:rPr>
      </w:r>
    </w:p>
    <w:p w:rsidR="00000000" w:rsidDel="00000000" w:rsidP="00000000" w:rsidRDefault="00000000" w:rsidRPr="00000000" w14:paraId="00000004">
      <w:pPr>
        <w:pageBreakBefore w:val="0"/>
        <w:spacing w:line="336" w:lineRule="auto"/>
        <w:ind w:left="-425.19685039370086" w:firstLine="0"/>
        <w:jc w:val="center"/>
        <w:rPr>
          <w:rFonts w:ascii="Garamond" w:cs="Garamond" w:eastAsia="Garamond" w:hAnsi="Garamond"/>
          <w:color w:val="202122"/>
          <w:sz w:val="22"/>
          <w:szCs w:val="22"/>
        </w:rPr>
      </w:pPr>
      <w:r w:rsidDel="00000000" w:rsidR="00000000" w:rsidRPr="00000000">
        <w:rPr>
          <w:rtl w:val="0"/>
        </w:rPr>
      </w:r>
    </w:p>
    <w:tbl>
      <w:tblPr>
        <w:tblStyle w:val="Table1"/>
        <w:tblW w:w="9480.0" w:type="dxa"/>
        <w:jc w:val="left"/>
        <w:tblInd w:w="-325.1968503937008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
        <w:gridCol w:w="9045"/>
        <w:tblGridChange w:id="0">
          <w:tblGrid>
            <w:gridCol w:w="435"/>
            <w:gridCol w:w="90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5.99999999999994" w:lineRule="auto"/>
              <w:ind w:left="0" w:right="0" w:firstLine="0"/>
              <w:jc w:val="left"/>
              <w:rPr>
                <w:rFonts w:ascii="Garamond" w:cs="Garamond" w:eastAsia="Garamond" w:hAnsi="Garamond"/>
                <w:color w:val="202122"/>
                <w:sz w:val="22"/>
                <w:szCs w:val="22"/>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5.99999999999994" w:lineRule="auto"/>
              <w:ind w:left="0" w:right="0" w:firstLine="0"/>
              <w:jc w:val="left"/>
              <w:rPr>
                <w:rFonts w:ascii="Garamond" w:cs="Garamond" w:eastAsia="Garamond" w:hAnsi="Garamond"/>
                <w:color w:val="202122"/>
                <w:sz w:val="22"/>
                <w:szCs w:val="22"/>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2.8" w:lineRule="auto"/>
              <w:ind w:left="0" w:right="0" w:firstLine="0"/>
              <w:jc w:val="left"/>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1</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2.8"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2.8"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2.8"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2.8" w:lineRule="auto"/>
              <w:ind w:left="0" w:right="0" w:firstLine="0"/>
              <w:jc w:val="left"/>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5</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2.8"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2.8"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2.8"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2.8"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2.8" w:lineRule="auto"/>
              <w:ind w:left="0" w:right="0" w:firstLine="0"/>
              <w:jc w:val="left"/>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10</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2.8"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2.8"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2.8"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2.8"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2.8"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2.8"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2.8"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2.8" w:lineRule="auto"/>
              <w:ind w:left="0" w:right="0" w:firstLine="0"/>
              <w:jc w:val="left"/>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15</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335.99999999999994" w:lineRule="auto"/>
              <w:ind w:left="0" w:firstLine="0"/>
              <w:jc w:val="center"/>
              <w:rPr>
                <w:rFonts w:ascii="Times New Roman" w:cs="Times New Roman" w:eastAsia="Times New Roman" w:hAnsi="Times New Roman"/>
                <w:sz w:val="22"/>
                <w:szCs w:val="22"/>
              </w:rPr>
            </w:pPr>
            <w:r w:rsidDel="00000000" w:rsidR="00000000" w:rsidRPr="00000000">
              <w:rPr>
                <w:rFonts w:ascii="Garamond" w:cs="Garamond" w:eastAsia="Garamond" w:hAnsi="Garamond"/>
                <w:color w:val="202122"/>
                <w:sz w:val="22"/>
                <w:szCs w:val="22"/>
                <w:rtl w:val="0"/>
              </w:rPr>
              <w:t xml:space="preserve">PRÉAMBULE</w:t>
            </w:r>
            <w:r w:rsidDel="00000000" w:rsidR="00000000" w:rsidRPr="00000000">
              <w:rPr>
                <w:rtl w:val="0"/>
              </w:rPr>
            </w:r>
          </w:p>
          <w:p w:rsidR="00000000" w:rsidDel="00000000" w:rsidP="00000000" w:rsidRDefault="00000000" w:rsidRPr="00000000" w14:paraId="0000001A">
            <w:pPr>
              <w:spacing w:line="335.99999999999994"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B">
            <w:pPr>
              <w:spacing w:line="335.99999999999994" w:lineRule="auto"/>
              <w:ind w:left="0" w:firstLine="283.46456692913375"/>
              <w:jc w:val="both"/>
              <w:rPr>
                <w:rFonts w:ascii="Garamond" w:cs="Garamond" w:eastAsia="Garamond" w:hAnsi="Garamond"/>
                <w:sz w:val="22"/>
                <w:szCs w:val="22"/>
              </w:rPr>
            </w:pPr>
            <w:r w:rsidDel="00000000" w:rsidR="00000000" w:rsidRPr="00000000">
              <w:rPr>
                <w:rFonts w:ascii="Garamond" w:cs="Garamond" w:eastAsia="Garamond" w:hAnsi="Garamond"/>
                <w:color w:val="202122"/>
                <w:sz w:val="22"/>
                <w:szCs w:val="22"/>
                <w:rtl w:val="0"/>
              </w:rPr>
              <w:t xml:space="preserve">Les mères, les filles, les sœurs, représentantes de la nation, demandent d’être constituées en Assemblée nationale. Considérant que l’ignorance, l’oubli ou le mépris des droits de la femme sont les seules causes des malheurs publics et de la corruption des gouvernements, [elles] ont résolu d’exposer, dans une déclaration solennelle, les droits naturels, inaliénables</w:t>
            </w:r>
            <w:r w:rsidDel="00000000" w:rsidR="00000000" w:rsidRPr="00000000">
              <w:rPr>
                <w:rFonts w:ascii="Garamond" w:cs="Garamond" w:eastAsia="Garamond" w:hAnsi="Garamond"/>
                <w:color w:val="202122"/>
                <w:sz w:val="22"/>
                <w:szCs w:val="22"/>
                <w:vertAlign w:val="superscript"/>
              </w:rPr>
              <w:footnoteReference w:customMarkFollows="0" w:id="0"/>
            </w:r>
            <w:r w:rsidDel="00000000" w:rsidR="00000000" w:rsidRPr="00000000">
              <w:rPr>
                <w:rFonts w:ascii="Garamond" w:cs="Garamond" w:eastAsia="Garamond" w:hAnsi="Garamond"/>
                <w:color w:val="202122"/>
                <w:sz w:val="22"/>
                <w:szCs w:val="22"/>
                <w:rtl w:val="0"/>
              </w:rPr>
              <w:t xml:space="preserve"> et sacrés de la femme, afin que cette déclaration, constamment présente à tous les membres du corps social</w:t>
            </w:r>
            <w:r w:rsidDel="00000000" w:rsidR="00000000" w:rsidRPr="00000000">
              <w:rPr>
                <w:rFonts w:ascii="Garamond" w:cs="Garamond" w:eastAsia="Garamond" w:hAnsi="Garamond"/>
                <w:color w:val="202122"/>
                <w:sz w:val="22"/>
                <w:szCs w:val="22"/>
                <w:vertAlign w:val="superscript"/>
              </w:rPr>
              <w:footnoteReference w:customMarkFollows="0" w:id="1"/>
            </w:r>
            <w:r w:rsidDel="00000000" w:rsidR="00000000" w:rsidRPr="00000000">
              <w:rPr>
                <w:rFonts w:ascii="Garamond" w:cs="Garamond" w:eastAsia="Garamond" w:hAnsi="Garamond"/>
                <w:color w:val="202122"/>
                <w:sz w:val="22"/>
                <w:szCs w:val="22"/>
                <w:rtl w:val="0"/>
              </w:rPr>
              <w:t xml:space="preserve">, leur rappelle sans cesse leurs droits et leurs devoirs, afin que les actes du pouvoir des femmes et ceux du pouvoir des hommes, pouvant être à chaque instant comparés avec le but de toute institution politique, en soient plus respectés, afin que les réclamations des citoyennes, fondées désormais sur des principes simples et incontestables, tournent toujours au maintien de la Constitution, des bonnes mœurs, et au bonheur de tous.</w:t>
            </w:r>
            <w:r w:rsidDel="00000000" w:rsidR="00000000" w:rsidRPr="00000000">
              <w:rPr>
                <w:rtl w:val="0"/>
              </w:rPr>
            </w:r>
          </w:p>
          <w:p w:rsidR="00000000" w:rsidDel="00000000" w:rsidP="00000000" w:rsidRDefault="00000000" w:rsidRPr="00000000" w14:paraId="0000001C">
            <w:pPr>
              <w:spacing w:line="335.99999999999994" w:lineRule="auto"/>
              <w:ind w:left="0" w:firstLine="283.46456692913375"/>
              <w:jc w:val="both"/>
              <w:rPr>
                <w:rFonts w:ascii="Times New Roman" w:cs="Times New Roman" w:eastAsia="Times New Roman" w:hAnsi="Times New Roman"/>
                <w:sz w:val="22"/>
                <w:szCs w:val="22"/>
              </w:rPr>
            </w:pPr>
            <w:r w:rsidDel="00000000" w:rsidR="00000000" w:rsidRPr="00000000">
              <w:rPr>
                <w:rFonts w:ascii="Garamond" w:cs="Garamond" w:eastAsia="Garamond" w:hAnsi="Garamond"/>
                <w:color w:val="202122"/>
                <w:sz w:val="22"/>
                <w:szCs w:val="22"/>
                <w:rtl w:val="0"/>
              </w:rPr>
              <w:t xml:space="preserve">En conséquence, le sexe supérieur en beauté comme en courage dans les souffrances maternelles</w:t>
            </w:r>
            <w:r w:rsidDel="00000000" w:rsidR="00000000" w:rsidRPr="00000000">
              <w:rPr>
                <w:rFonts w:ascii="Garamond" w:cs="Garamond" w:eastAsia="Garamond" w:hAnsi="Garamond"/>
                <w:color w:val="202122"/>
                <w:sz w:val="22"/>
                <w:szCs w:val="22"/>
                <w:vertAlign w:val="superscript"/>
              </w:rPr>
              <w:footnoteReference w:customMarkFollows="0" w:id="2"/>
            </w:r>
            <w:r w:rsidDel="00000000" w:rsidR="00000000" w:rsidRPr="00000000">
              <w:rPr>
                <w:rFonts w:ascii="Garamond" w:cs="Garamond" w:eastAsia="Garamond" w:hAnsi="Garamond"/>
                <w:color w:val="202122"/>
                <w:sz w:val="22"/>
                <w:szCs w:val="22"/>
                <w:rtl w:val="0"/>
              </w:rPr>
              <w:t xml:space="preserve">, reconnait et déclare, en présence et sous les auspices</w:t>
            </w:r>
            <w:r w:rsidDel="00000000" w:rsidR="00000000" w:rsidRPr="00000000">
              <w:rPr>
                <w:rFonts w:ascii="Garamond" w:cs="Garamond" w:eastAsia="Garamond" w:hAnsi="Garamond"/>
                <w:color w:val="202122"/>
                <w:sz w:val="22"/>
                <w:szCs w:val="22"/>
                <w:vertAlign w:val="superscript"/>
              </w:rPr>
              <w:footnoteReference w:customMarkFollows="0" w:id="3"/>
            </w:r>
            <w:r w:rsidDel="00000000" w:rsidR="00000000" w:rsidRPr="00000000">
              <w:rPr>
                <w:rFonts w:ascii="Garamond" w:cs="Garamond" w:eastAsia="Garamond" w:hAnsi="Garamond"/>
                <w:color w:val="202122"/>
                <w:sz w:val="22"/>
                <w:szCs w:val="22"/>
                <w:rtl w:val="0"/>
              </w:rPr>
              <w:t xml:space="preserve"> de l’Être suprême</w:t>
            </w:r>
            <w:r w:rsidDel="00000000" w:rsidR="00000000" w:rsidRPr="00000000">
              <w:rPr>
                <w:rFonts w:ascii="Garamond" w:cs="Garamond" w:eastAsia="Garamond" w:hAnsi="Garamond"/>
                <w:color w:val="202122"/>
                <w:sz w:val="22"/>
                <w:szCs w:val="22"/>
                <w:vertAlign w:val="superscript"/>
              </w:rPr>
              <w:footnoteReference w:customMarkFollows="0" w:id="4"/>
            </w:r>
            <w:r w:rsidDel="00000000" w:rsidR="00000000" w:rsidRPr="00000000">
              <w:rPr>
                <w:rFonts w:ascii="Garamond" w:cs="Garamond" w:eastAsia="Garamond" w:hAnsi="Garamond"/>
                <w:color w:val="202122"/>
                <w:sz w:val="22"/>
                <w:szCs w:val="22"/>
                <w:rtl w:val="0"/>
              </w:rPr>
              <w:t xml:space="preserve">, les droits suivants de la femme et de la citoyenne. </w:t>
            </w:r>
            <w:r w:rsidDel="00000000" w:rsidR="00000000" w:rsidRPr="00000000">
              <w:rPr>
                <w:rtl w:val="0"/>
              </w:rPr>
            </w:r>
          </w:p>
          <w:p w:rsidR="00000000" w:rsidDel="00000000" w:rsidP="00000000" w:rsidRDefault="00000000" w:rsidRPr="00000000" w14:paraId="0000001D">
            <w:pPr>
              <w:spacing w:line="335.99999999999994" w:lineRule="auto"/>
              <w:ind w:left="0"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E">
            <w:pPr>
              <w:spacing w:line="335.99999999999994" w:lineRule="auto"/>
              <w:ind w:left="0" w:firstLine="0"/>
              <w:jc w:val="center"/>
              <w:rPr>
                <w:rFonts w:ascii="Times New Roman" w:cs="Times New Roman" w:eastAsia="Times New Roman" w:hAnsi="Times New Roman"/>
                <w:sz w:val="22"/>
                <w:szCs w:val="22"/>
              </w:rPr>
            </w:pPr>
            <w:r w:rsidDel="00000000" w:rsidR="00000000" w:rsidRPr="00000000">
              <w:rPr>
                <w:rFonts w:ascii="Garamond" w:cs="Garamond" w:eastAsia="Garamond" w:hAnsi="Garamond"/>
                <w:color w:val="202122"/>
                <w:sz w:val="22"/>
                <w:szCs w:val="22"/>
                <w:rtl w:val="0"/>
              </w:rPr>
              <w:t xml:space="preserve">ARTICLE PREMIER.</w:t>
            </w:r>
            <w:r w:rsidDel="00000000" w:rsidR="00000000" w:rsidRPr="00000000">
              <w:rPr>
                <w:rtl w:val="0"/>
              </w:rPr>
            </w:r>
          </w:p>
          <w:p w:rsidR="00000000" w:rsidDel="00000000" w:rsidP="00000000" w:rsidRDefault="00000000" w:rsidRPr="00000000" w14:paraId="0000001F">
            <w:pPr>
              <w:spacing w:line="335.99999999999994" w:lineRule="auto"/>
              <w:ind w:left="0"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0">
            <w:pPr>
              <w:spacing w:line="335.99999999999994" w:lineRule="auto"/>
              <w:ind w:left="0" w:firstLine="0"/>
              <w:jc w:val="both"/>
              <w:rPr>
                <w:rFonts w:ascii="Times New Roman" w:cs="Times New Roman" w:eastAsia="Times New Roman" w:hAnsi="Times New Roman"/>
                <w:sz w:val="22"/>
                <w:szCs w:val="22"/>
              </w:rPr>
            </w:pPr>
            <w:r w:rsidDel="00000000" w:rsidR="00000000" w:rsidRPr="00000000">
              <w:rPr>
                <w:rFonts w:ascii="Garamond" w:cs="Garamond" w:eastAsia="Garamond" w:hAnsi="Garamond"/>
                <w:color w:val="202122"/>
                <w:sz w:val="22"/>
                <w:szCs w:val="22"/>
                <w:rtl w:val="0"/>
              </w:rPr>
              <w:t xml:space="preserve">La femme nait libre et demeure égale à l’homme en droits. Les distinctions sociales ne peuvent être fondées que sur l’utilité commune</w:t>
            </w:r>
            <w:r w:rsidDel="00000000" w:rsidR="00000000" w:rsidRPr="00000000">
              <w:rPr>
                <w:rFonts w:ascii="Garamond" w:cs="Garamond" w:eastAsia="Garamond" w:hAnsi="Garamond"/>
                <w:color w:val="202122"/>
                <w:sz w:val="22"/>
                <w:szCs w:val="22"/>
                <w:vertAlign w:val="superscript"/>
              </w:rPr>
              <w:footnoteReference w:customMarkFollows="0" w:id="5"/>
            </w:r>
            <w:r w:rsidDel="00000000" w:rsidR="00000000" w:rsidRPr="00000000">
              <w:rPr>
                <w:rFonts w:ascii="Garamond" w:cs="Garamond" w:eastAsia="Garamond" w:hAnsi="Garamond"/>
                <w:color w:val="202122"/>
                <w:sz w:val="22"/>
                <w:szCs w:val="22"/>
                <w:rtl w:val="0"/>
              </w:rPr>
              <w:t xml:space="preserve">.</w:t>
            </w:r>
            <w:r w:rsidDel="00000000" w:rsidR="00000000" w:rsidRPr="00000000">
              <w:rPr>
                <w:rtl w:val="0"/>
              </w:rPr>
            </w:r>
          </w:p>
          <w:p w:rsidR="00000000" w:rsidDel="00000000" w:rsidP="00000000" w:rsidRDefault="00000000" w:rsidRPr="00000000" w14:paraId="00000021">
            <w:pPr>
              <w:spacing w:line="335.99999999999994" w:lineRule="auto"/>
              <w:ind w:left="0"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2">
            <w:pPr>
              <w:spacing w:line="335.99999999999994" w:lineRule="auto"/>
              <w:ind w:left="0" w:firstLine="0"/>
              <w:jc w:val="center"/>
              <w:rPr>
                <w:rFonts w:ascii="Times New Roman" w:cs="Times New Roman" w:eastAsia="Times New Roman" w:hAnsi="Times New Roman"/>
                <w:sz w:val="22"/>
                <w:szCs w:val="22"/>
              </w:rPr>
            </w:pPr>
            <w:r w:rsidDel="00000000" w:rsidR="00000000" w:rsidRPr="00000000">
              <w:rPr>
                <w:rFonts w:ascii="Garamond" w:cs="Garamond" w:eastAsia="Garamond" w:hAnsi="Garamond"/>
                <w:color w:val="202122"/>
                <w:sz w:val="22"/>
                <w:szCs w:val="22"/>
                <w:rtl w:val="0"/>
              </w:rPr>
              <w:t xml:space="preserve">II.</w:t>
            </w:r>
            <w:r w:rsidDel="00000000" w:rsidR="00000000" w:rsidRPr="00000000">
              <w:rPr>
                <w:rtl w:val="0"/>
              </w:rPr>
            </w:r>
          </w:p>
          <w:p w:rsidR="00000000" w:rsidDel="00000000" w:rsidP="00000000" w:rsidRDefault="00000000" w:rsidRPr="00000000" w14:paraId="00000023">
            <w:pPr>
              <w:spacing w:line="335.99999999999994" w:lineRule="auto"/>
              <w:ind w:left="0" w:firstLine="0"/>
              <w:jc w:val="both"/>
              <w:rPr>
                <w:rFonts w:ascii="Garamond" w:cs="Garamond" w:eastAsia="Garamond" w:hAnsi="Garamond"/>
                <w:color w:val="202122"/>
                <w:sz w:val="22"/>
                <w:szCs w:val="22"/>
              </w:rPr>
            </w:pPr>
            <w:r w:rsidDel="00000000" w:rsidR="00000000" w:rsidRPr="00000000">
              <w:rPr>
                <w:rFonts w:ascii="Garamond" w:cs="Garamond" w:eastAsia="Garamond" w:hAnsi="Garamond"/>
                <w:color w:val="202122"/>
                <w:sz w:val="22"/>
                <w:szCs w:val="22"/>
                <w:rtl w:val="0"/>
              </w:rPr>
              <w:t xml:space="preserve">Le but de toute association politique est la conservation des droits naturels et imprescriptibles</w:t>
            </w:r>
            <w:r w:rsidDel="00000000" w:rsidR="00000000" w:rsidRPr="00000000">
              <w:rPr>
                <w:rFonts w:ascii="Garamond" w:cs="Garamond" w:eastAsia="Garamond" w:hAnsi="Garamond"/>
                <w:color w:val="202122"/>
                <w:sz w:val="22"/>
                <w:szCs w:val="22"/>
                <w:vertAlign w:val="superscript"/>
              </w:rPr>
              <w:footnoteReference w:customMarkFollows="0" w:id="6"/>
            </w:r>
            <w:r w:rsidDel="00000000" w:rsidR="00000000" w:rsidRPr="00000000">
              <w:rPr>
                <w:rFonts w:ascii="Garamond" w:cs="Garamond" w:eastAsia="Garamond" w:hAnsi="Garamond"/>
                <w:color w:val="202122"/>
                <w:sz w:val="22"/>
                <w:szCs w:val="22"/>
                <w:rtl w:val="0"/>
              </w:rPr>
              <w:t xml:space="preserve"> de la femme et de l’homme : ces droits sont la liberté, la propriété, la sureté</w:t>
            </w:r>
            <w:r w:rsidDel="00000000" w:rsidR="00000000" w:rsidRPr="00000000">
              <w:rPr>
                <w:rFonts w:ascii="Garamond" w:cs="Garamond" w:eastAsia="Garamond" w:hAnsi="Garamond"/>
                <w:color w:val="202122"/>
                <w:sz w:val="22"/>
                <w:szCs w:val="22"/>
                <w:vertAlign w:val="superscript"/>
              </w:rPr>
              <w:footnoteReference w:customMarkFollows="0" w:id="7"/>
            </w:r>
            <w:r w:rsidDel="00000000" w:rsidR="00000000" w:rsidRPr="00000000">
              <w:rPr>
                <w:rFonts w:ascii="Garamond" w:cs="Garamond" w:eastAsia="Garamond" w:hAnsi="Garamond"/>
                <w:color w:val="202122"/>
                <w:sz w:val="22"/>
                <w:szCs w:val="22"/>
                <w:rtl w:val="0"/>
              </w:rPr>
              <w:t xml:space="preserve">, et surtout la résistance à l’oppression.</w:t>
            </w:r>
          </w:p>
        </w:tc>
      </w:tr>
    </w:tbl>
    <w:p w:rsidR="00000000" w:rsidDel="00000000" w:rsidP="00000000" w:rsidRDefault="00000000" w:rsidRPr="00000000" w14:paraId="00000024">
      <w:pPr>
        <w:pageBreakBefore w:val="0"/>
        <w:spacing w:line="336" w:lineRule="auto"/>
        <w:ind w:left="-425.19685039370086" w:firstLine="0"/>
        <w:jc w:val="both"/>
        <w:rPr>
          <w:rFonts w:ascii="Times New Roman" w:cs="Times New Roman" w:eastAsia="Times New Roman" w:hAnsi="Times New Roman"/>
          <w:sz w:val="22"/>
          <w:szCs w:val="22"/>
        </w:rPr>
      </w:pPr>
      <w:r w:rsidDel="00000000" w:rsidR="00000000" w:rsidRPr="00000000">
        <w:rPr>
          <w:rtl w:val="0"/>
        </w:rPr>
      </w:r>
    </w:p>
    <w:sectPr>
      <w:headerReference r:id="rId8" w:type="default"/>
      <w:footerReference r:id="rId9" w:type="default"/>
      <w:pgSz w:h="16838" w:w="11906" w:orient="portrait"/>
      <w:pgMar w:bottom="1417" w:top="1275.5905511811022" w:left="1417" w:right="141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Fira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523367" cy="296275"/>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23367" cy="296275"/>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7">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Fondamentaux, dont l’être humain ne peut être privé.</w:t>
      </w:r>
    </w:p>
  </w:footnote>
  <w:footnote w:id="1">
    <w:p w:rsidR="00000000" w:rsidDel="00000000" w:rsidP="00000000" w:rsidRDefault="00000000" w:rsidRPr="00000000" w14:paraId="00000028">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De la société.</w:t>
      </w:r>
    </w:p>
  </w:footnote>
  <w:footnote w:id="2">
    <w:p w:rsidR="00000000" w:rsidDel="00000000" w:rsidP="00000000" w:rsidRDefault="00000000" w:rsidRPr="00000000" w14:paraId="00000029">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Les souffrances liées à l’accouchement.</w:t>
      </w:r>
    </w:p>
  </w:footnote>
  <w:footnote w:id="3">
    <w:p w:rsidR="00000000" w:rsidDel="00000000" w:rsidP="00000000" w:rsidRDefault="00000000" w:rsidRPr="00000000" w14:paraId="0000002A">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La protection.</w:t>
      </w:r>
    </w:p>
  </w:footnote>
  <w:footnote w:id="4">
    <w:p w:rsidR="00000000" w:rsidDel="00000000" w:rsidP="00000000" w:rsidRDefault="00000000" w:rsidRPr="00000000" w14:paraId="0000002B">
      <w:pPr>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sz w:val="18"/>
          <w:szCs w:val="18"/>
          <w:rtl w:val="0"/>
        </w:rPr>
        <w:t xml:space="preserve">Opposés aux religions traditionnelles, certains philosophes des Lumières (notamment d’Alembert, Voltaire et Rousseau) ont défendu des formes de culte déiste à l’être suprême, le créateur du monde, et le déisme est en vogue parmi les révolutionnaires. Sous le gouvernement révolutionnaire (1793-1794), ce culte donnera lieu à de nombreuses cérémonies civiques et religieuses. </w:t>
      </w:r>
    </w:p>
  </w:footnote>
  <w:footnote w:id="5">
    <w:p w:rsidR="00000000" w:rsidDel="00000000" w:rsidP="00000000" w:rsidRDefault="00000000" w:rsidRPr="00000000" w14:paraId="0000002C">
      <w:pPr>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sz w:val="18"/>
          <w:szCs w:val="18"/>
          <w:rtl w:val="0"/>
        </w:rPr>
        <w:t xml:space="preserve">La hiérarchie sociale ne peut donc plus être fondée sur la naissance (comme dans l’Ancien Régime), mais selon la compétence, ce que l’on apporte à la société. </w:t>
      </w:r>
    </w:p>
  </w:footnote>
  <w:footnote w:id="6">
    <w:p w:rsidR="00000000" w:rsidDel="00000000" w:rsidP="00000000" w:rsidRDefault="00000000" w:rsidRPr="00000000" w14:paraId="0000002D">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Qui ne peuvent être supprimés.</w:t>
      </w:r>
    </w:p>
  </w:footnote>
  <w:footnote w:id="7">
    <w:p w:rsidR="00000000" w:rsidDel="00000000" w:rsidP="00000000" w:rsidRDefault="00000000" w:rsidRPr="00000000" w14:paraId="0000002E">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Sécurité.</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left" w:pos="3550"/>
      </w:tabs>
      <w:spacing w:after="0" w:before="0" w:line="240" w:lineRule="auto"/>
      <w:ind w:left="0" w:right="0" w:firstLine="0"/>
      <w:jc w:val="left"/>
      <w:rPr>
        <w:rFonts w:ascii="Fira Sans Light" w:cs="Fira Sans Light" w:eastAsia="Fira Sans Light" w:hAnsi="Fira Sans Light"/>
        <w:i w:val="0"/>
        <w:smallCaps w:val="0"/>
        <w:strike w:val="0"/>
        <w:color w:val="666666"/>
        <w:sz w:val="22"/>
        <w:szCs w:val="22"/>
        <w:u w:val="none"/>
        <w:shd w:fill="auto" w:val="clear"/>
        <w:vertAlign w:val="baseline"/>
      </w:rPr>
    </w:pPr>
    <w:r w:rsidDel="00000000" w:rsidR="00000000" w:rsidRPr="00000000">
      <w:rPr>
        <w:rFonts w:ascii="Fira Sans" w:cs="Fira Sans" w:eastAsia="Fira Sans" w:hAnsi="Fira Sans"/>
        <w:b w:val="1"/>
        <w:color w:val="666666"/>
        <w:sz w:val="22"/>
        <w:szCs w:val="22"/>
        <w:rtl w:val="0"/>
      </w:rPr>
      <w:t xml:space="preserve">Extrait • </w:t>
    </w:r>
    <w:r w:rsidDel="00000000" w:rsidR="00000000" w:rsidRPr="00000000">
      <w:rPr>
        <w:rFonts w:ascii="Fira Sans Light" w:cs="Fira Sans Light" w:eastAsia="Fira Sans Light" w:hAnsi="Fira Sans Light"/>
        <w:i w:val="0"/>
        <w:smallCaps w:val="0"/>
        <w:strike w:val="0"/>
        <w:color w:val="666666"/>
        <w:sz w:val="22"/>
        <w:szCs w:val="22"/>
        <w:u w:val="none"/>
        <w:shd w:fill="auto" w:val="clear"/>
        <w:vertAlign w:val="baseline"/>
        <w:rtl w:val="0"/>
      </w:rPr>
      <w:t xml:space="preserve">Préambule, articles I et II</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NormalWeb">
    <w:name w:val="Normal (Web)"/>
    <w:basedOn w:val="Normal"/>
    <w:uiPriority w:val="99"/>
    <w:unhideWhenUsed w:val="1"/>
    <w:rsid w:val="001A4A81"/>
    <w:pPr>
      <w:spacing w:after="100" w:afterAutospacing="1" w:before="100" w:beforeAutospacing="1"/>
    </w:pPr>
    <w:rPr>
      <w:rFonts w:ascii="Times New Roman" w:cs="Times New Roman" w:eastAsia="Times New Roman" w:hAnsi="Times New Roman"/>
      <w:lang w:eastAsia="fr-FR"/>
    </w:rPr>
  </w:style>
  <w:style w:type="character" w:styleId="Numrodeligne">
    <w:name w:val="line number"/>
    <w:basedOn w:val="Policepardfaut"/>
    <w:uiPriority w:val="99"/>
    <w:semiHidden w:val="1"/>
    <w:unhideWhenUsed w:val="1"/>
    <w:rsid w:val="00122C73"/>
    <w:rPr>
      <w:rFonts w:asciiTheme="majorHAnsi" w:hAnsiTheme="majorHAnsi"/>
      <w:sz w:val="15"/>
    </w:rPr>
  </w:style>
  <w:style w:type="paragraph" w:styleId="En-tte">
    <w:name w:val="header"/>
    <w:basedOn w:val="Normal"/>
    <w:link w:val="En-tteCar"/>
    <w:uiPriority w:val="99"/>
    <w:unhideWhenUsed w:val="1"/>
    <w:rsid w:val="000B629A"/>
    <w:pPr>
      <w:tabs>
        <w:tab w:val="center" w:pos="4536"/>
        <w:tab w:val="right" w:pos="9072"/>
      </w:tabs>
    </w:pPr>
  </w:style>
  <w:style w:type="character" w:styleId="En-tteCar" w:customStyle="1">
    <w:name w:val="En-tête Car"/>
    <w:basedOn w:val="Policepardfaut"/>
    <w:link w:val="En-tte"/>
    <w:uiPriority w:val="99"/>
    <w:rsid w:val="000B629A"/>
  </w:style>
  <w:style w:type="paragraph" w:styleId="Pieddepage">
    <w:name w:val="footer"/>
    <w:basedOn w:val="Normal"/>
    <w:link w:val="PieddepageCar"/>
    <w:uiPriority w:val="99"/>
    <w:unhideWhenUsed w:val="1"/>
    <w:rsid w:val="000B629A"/>
    <w:pPr>
      <w:tabs>
        <w:tab w:val="center" w:pos="4536"/>
        <w:tab w:val="right" w:pos="9072"/>
      </w:tabs>
    </w:pPr>
  </w:style>
  <w:style w:type="character" w:styleId="PieddepageCar" w:customStyle="1">
    <w:name w:val="Pied de page Car"/>
    <w:basedOn w:val="Policepardfaut"/>
    <w:link w:val="Pieddepage"/>
    <w:uiPriority w:val="99"/>
    <w:rsid w:val="000B629A"/>
  </w:style>
  <w:style w:type="paragraph" w:styleId="Notedebasdepage">
    <w:name w:val="footnote text"/>
    <w:basedOn w:val="Normal"/>
    <w:link w:val="NotedebasdepageCar"/>
    <w:uiPriority w:val="99"/>
    <w:semiHidden w:val="1"/>
    <w:unhideWhenUsed w:val="1"/>
    <w:rsid w:val="00122C73"/>
    <w:rPr>
      <w:sz w:val="18"/>
      <w:szCs w:val="20"/>
    </w:rPr>
  </w:style>
  <w:style w:type="character" w:styleId="NotedebasdepageCar" w:customStyle="1">
    <w:name w:val="Note de bas de page Car"/>
    <w:basedOn w:val="Policepardfaut"/>
    <w:link w:val="Notedebasdepage"/>
    <w:uiPriority w:val="99"/>
    <w:semiHidden w:val="1"/>
    <w:rsid w:val="00122C73"/>
    <w:rPr>
      <w:sz w:val="18"/>
      <w:szCs w:val="20"/>
    </w:rPr>
  </w:style>
  <w:style w:type="character" w:styleId="Appelnotedebasdep">
    <w:name w:val="footnote reference"/>
    <w:basedOn w:val="Policepardfaut"/>
    <w:uiPriority w:val="99"/>
    <w:semiHidden w:val="1"/>
    <w:unhideWhenUsed w:val="1"/>
    <w:rsid w:val="000B629A"/>
    <w:rPr>
      <w:vertAlign w:val="superscript"/>
    </w:rPr>
  </w:style>
  <w:style w:type="paragraph" w:styleId="Notedefin">
    <w:name w:val="endnote text"/>
    <w:basedOn w:val="Normal"/>
    <w:link w:val="NotedefinCar"/>
    <w:uiPriority w:val="99"/>
    <w:semiHidden w:val="1"/>
    <w:unhideWhenUsed w:val="1"/>
    <w:rsid w:val="00982943"/>
    <w:rPr>
      <w:sz w:val="20"/>
      <w:szCs w:val="20"/>
    </w:rPr>
  </w:style>
  <w:style w:type="character" w:styleId="NotedefinCar" w:customStyle="1">
    <w:name w:val="Note de fin Car"/>
    <w:basedOn w:val="Policepardfaut"/>
    <w:link w:val="Notedefin"/>
    <w:uiPriority w:val="99"/>
    <w:semiHidden w:val="1"/>
    <w:rsid w:val="00982943"/>
    <w:rPr>
      <w:sz w:val="20"/>
      <w:szCs w:val="20"/>
    </w:rPr>
  </w:style>
  <w:style w:type="character" w:styleId="Appeldenotedefin">
    <w:name w:val="endnote reference"/>
    <w:basedOn w:val="Policepardfaut"/>
    <w:uiPriority w:val="99"/>
    <w:semiHidden w:val="1"/>
    <w:unhideWhenUsed w:val="1"/>
    <w:rsid w:val="00982943"/>
    <w:rPr>
      <w:vertAlign w:val="superscript"/>
    </w:rPr>
  </w:style>
  <w:style w:type="paragraph" w:styleId="Textedebulles">
    <w:name w:val="Balloon Text"/>
    <w:basedOn w:val="Normal"/>
    <w:link w:val="TextedebullesCar"/>
    <w:uiPriority w:val="99"/>
    <w:semiHidden w:val="1"/>
    <w:unhideWhenUsed w:val="1"/>
    <w:rsid w:val="00122C73"/>
    <w:rPr>
      <w:rFonts w:ascii="Times New Roman" w:cs="Times New Roman" w:hAnsi="Times New Roman"/>
      <w:sz w:val="18"/>
      <w:szCs w:val="18"/>
    </w:rPr>
  </w:style>
  <w:style w:type="character" w:styleId="TextedebullesCar" w:customStyle="1">
    <w:name w:val="Texte de bulles Car"/>
    <w:basedOn w:val="Policepardfaut"/>
    <w:link w:val="Textedebulles"/>
    <w:uiPriority w:val="99"/>
    <w:semiHidden w:val="1"/>
    <w:rsid w:val="00122C73"/>
    <w:rPr>
      <w:rFonts w:ascii="Times New Roman" w:cs="Times New Roman" w:hAnsi="Times New Roman"/>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FiraSansLight-italic.ttf"/><Relationship Id="rId10" Type="http://schemas.openxmlformats.org/officeDocument/2006/relationships/font" Target="fonts/FiraSansLight-bold.ttf"/><Relationship Id="rId12" Type="http://schemas.openxmlformats.org/officeDocument/2006/relationships/font" Target="fonts/FiraSansLight-boldItalic.ttf"/><Relationship Id="rId9" Type="http://schemas.openxmlformats.org/officeDocument/2006/relationships/font" Target="fonts/FiraSansLight-regular.ttf"/><Relationship Id="rId5" Type="http://schemas.openxmlformats.org/officeDocument/2006/relationships/font" Target="fonts/FiraSans-regular.ttf"/><Relationship Id="rId6" Type="http://schemas.openxmlformats.org/officeDocument/2006/relationships/font" Target="fonts/FiraSans-bold.ttf"/><Relationship Id="rId7" Type="http://schemas.openxmlformats.org/officeDocument/2006/relationships/font" Target="fonts/FiraSans-italic.ttf"/><Relationship Id="rId8" Type="http://schemas.openxmlformats.org/officeDocument/2006/relationships/font" Target="fonts/Fira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S3qMqbImCisq/iVcbx+KKbB/vA==">AMUW2mV/20ljnj0cV8h5QUuj2jhqxyRiJ8IhaV0KJ5Iff+ILi7S1jaxUqVYh8So7rtZRC5VoOFCROVbkzmX24Qj4WXv0PswGnJOZvYIXhcJdThup/HfxSFc=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2021-05-19T08:55:00Z</dcterms:created>
  <dc:creator>Céline Grauby</dc:creator>
</cp:coreProperties>
</file>