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Fira Sans Light" w:cs="Fira Sans Light" w:eastAsia="Fira Sans Light" w:hAnsi="Fira Sans Light"/>
          <w:color w:val="666666"/>
          <w:sz w:val="32"/>
          <w:szCs w:val="32"/>
        </w:rPr>
      </w:pPr>
      <w:r w:rsidDel="00000000" w:rsidR="00000000" w:rsidRPr="00000000">
        <w:rPr>
          <w:rFonts w:ascii="Fira Sans Light" w:cs="Fira Sans Light" w:eastAsia="Fira Sans Light" w:hAnsi="Fira Sans Light"/>
          <w:color w:val="666666"/>
          <w:sz w:val="32"/>
          <w:szCs w:val="32"/>
          <w:rtl w:val="0"/>
        </w:rPr>
        <w:t xml:space="preserve">Olympe de Gouges </w:t>
      </w:r>
    </w:p>
    <w:p w:rsidR="00000000" w:rsidDel="00000000" w:rsidP="00000000" w:rsidRDefault="00000000" w:rsidRPr="00000000" w14:paraId="00000002">
      <w:pPr>
        <w:rPr>
          <w:rFonts w:ascii="Fira Sans Light" w:cs="Fira Sans Light" w:eastAsia="Fira Sans Light" w:hAnsi="Fira Sans Light"/>
          <w:i w:val="1"/>
          <w:color w:val="666666"/>
          <w:sz w:val="32"/>
          <w:szCs w:val="32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color w:val="666666"/>
          <w:sz w:val="32"/>
          <w:szCs w:val="32"/>
          <w:rtl w:val="0"/>
        </w:rPr>
        <w:t xml:space="preserve">Déclaration des droits de la femme et de la citoyenne </w:t>
      </w:r>
      <w:r w:rsidDel="00000000" w:rsidR="00000000" w:rsidRPr="00000000">
        <w:rPr>
          <w:rFonts w:ascii="Fira Sans Light" w:cs="Fira Sans Light" w:eastAsia="Fira Sans Light" w:hAnsi="Fira Sans Light"/>
          <w:color w:val="666666"/>
          <w:sz w:val="32"/>
          <w:szCs w:val="32"/>
          <w:rtl w:val="0"/>
        </w:rPr>
        <w:t xml:space="preserve">(1791)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36" w:lineRule="auto"/>
        <w:jc w:val="left"/>
        <w:rPr>
          <w:color w:val="47a6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36" w:lineRule="auto"/>
        <w:ind w:left="-425.19685039370086" w:firstLine="0"/>
        <w:jc w:val="center"/>
        <w:rPr>
          <w:rFonts w:ascii="Garamond" w:cs="Garamond" w:eastAsia="Garamond" w:hAnsi="Garamond"/>
          <w:color w:val="202122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0.0" w:type="dxa"/>
        <w:jc w:val="left"/>
        <w:tblInd w:w="-325.196850393700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5"/>
        <w:gridCol w:w="9045"/>
        <w:tblGridChange w:id="0">
          <w:tblGrid>
            <w:gridCol w:w="435"/>
            <w:gridCol w:w="90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5.99999999999994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2.40000000000003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5.99999999999994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5.99999999999994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5.99999999999994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before="0" w:line="335.99999999999994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X.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before="0" w:line="335.99999999999994" w:lineRule="auto"/>
              <w:ind w:firstLine="300"/>
              <w:jc w:val="both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Nul ne doit être inquiété pour ses opinions mêmes fondamentales. La femme a le droit de monter sur l’échafaud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 ; elle doit avoir également celui de monter à la tribune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, pourvu que ses manifestations ne troublent pas l’ordre public établi par la loi.</w:t>
            </w:r>
          </w:p>
          <w:p w:rsidR="00000000" w:rsidDel="00000000" w:rsidP="00000000" w:rsidRDefault="00000000" w:rsidRPr="00000000" w14:paraId="0000001E">
            <w:pPr>
              <w:spacing w:after="0" w:before="0" w:line="335.99999999999994" w:lineRule="auto"/>
              <w:ind w:firstLine="300"/>
              <w:jc w:val="both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before="0" w:line="335.99999999999994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XI.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before="0" w:line="335.99999999999994" w:lineRule="auto"/>
              <w:ind w:firstLine="300"/>
              <w:jc w:val="both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La libre communication des pensées et des opinions est un des droits les plus précieux de la femme, puisque cette liberté assure la légitimité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 des pères envers les enfants. Toute Citoyenne peut donc dire librement,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sz w:val="22"/>
                <w:szCs w:val="22"/>
                <w:rtl w:val="0"/>
              </w:rPr>
              <w:t xml:space="preserve">je suis mère d’un enfant qui vous appartient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, sans qu’un préjugé barbare la force à dissimuler la vérité, sauf à répondre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 de l’abus de cette liberté dans les cas déterminés par la loi.</w:t>
            </w:r>
          </w:p>
          <w:p w:rsidR="00000000" w:rsidDel="00000000" w:rsidP="00000000" w:rsidRDefault="00000000" w:rsidRPr="00000000" w14:paraId="00000021">
            <w:pPr>
              <w:spacing w:after="0" w:before="0" w:line="335.99999999999994" w:lineRule="auto"/>
              <w:ind w:firstLine="300"/>
              <w:jc w:val="both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before="0" w:line="335.99999999999994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XII.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before="0" w:line="335.99999999999994" w:lineRule="auto"/>
              <w:ind w:firstLine="300"/>
              <w:jc w:val="both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La garantie des droits de la femme et de la Citoyenne nécessite une utilité majeure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vertAlign w:val="superscript"/>
              </w:rPr>
              <w:footnoteReference w:customMarkFollows="0" w:id="4"/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 ; cette garantie doit être instituée pour l’avantage de tous, et non pour l’utilité particulière de celles à qui elle est confiée.</w:t>
            </w:r>
          </w:p>
          <w:p w:rsidR="00000000" w:rsidDel="00000000" w:rsidP="00000000" w:rsidRDefault="00000000" w:rsidRPr="00000000" w14:paraId="00000024">
            <w:pPr>
              <w:spacing w:after="0" w:before="0" w:line="335.99999999999994" w:lineRule="auto"/>
              <w:ind w:firstLine="300"/>
              <w:jc w:val="both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before="0" w:line="335.99999999999994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XIII.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before="0" w:line="335.99999999999994" w:lineRule="auto"/>
              <w:ind w:firstLine="283.46456692913375"/>
              <w:jc w:val="both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Pour l’entretien de la force publique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vertAlign w:val="superscript"/>
              </w:rPr>
              <w:footnoteReference w:customMarkFollows="0" w:id="5"/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 et pour les dépenses d’administration, les contributions de la femme et de l’homme sont égales ; elle a part à toutes les corvées, à toutes les tâches pénibles ; elle doit donc avoir de même part à la distribution des places, des emplois, des charges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vertAlign w:val="superscript"/>
              </w:rPr>
              <w:footnoteReference w:customMarkFollows="0" w:id="6"/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, des dignités et de l’industrie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vertAlign w:val="superscript"/>
              </w:rPr>
              <w:footnoteReference w:customMarkFollows="0" w:id="7"/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line="336" w:lineRule="auto"/>
        <w:ind w:left="-425.19685039370086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275.5905511811022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523367" cy="296275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3367" cy="296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A">
      <w:pPr>
        <w:spacing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D’être condamné à mort (l’échafaud est l’estrade sur laquelle les personnes condamnées à mort étaient exécutées). 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De prendre la parole en public (la tribune est l’estrade sur laquelle prennent place les orateurs et oratrices dans une assemblée)</w:t>
      </w:r>
    </w:p>
  </w:footnote>
  <w:footnote w:id="2">
    <w:p w:rsidR="00000000" w:rsidDel="00000000" w:rsidP="00000000" w:rsidRDefault="00000000" w:rsidRPr="00000000" w14:paraId="0000002C">
      <w:pPr>
        <w:spacing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La reconnaissance officielle. Les enfants nés hors mariage étaient appelés enfants </w:t>
      </w:r>
      <w:r w:rsidDel="00000000" w:rsidR="00000000" w:rsidRPr="00000000">
        <w:rPr>
          <w:i w:val="1"/>
          <w:sz w:val="18"/>
          <w:szCs w:val="18"/>
          <w:rtl w:val="0"/>
        </w:rPr>
        <w:t xml:space="preserve">illégitimes</w:t>
      </w:r>
      <w:r w:rsidDel="00000000" w:rsidR="00000000" w:rsidRPr="00000000">
        <w:rPr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2D">
      <w:pPr>
        <w:spacing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Assumer les conséquences.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2E">
      <w:pPr>
        <w:spacing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Implique l’intérêt général (supérieur aux individus).</w:t>
      </w: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2F">
      <w:pPr>
        <w:spacing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L’ensemble des services publics chargés du maintien de l’ordre, de la sécurité et de l’application des lois.</w:t>
      </w:r>
      <w:r w:rsidDel="00000000" w:rsidR="00000000" w:rsidRPr="00000000">
        <w:rPr>
          <w:rtl w:val="0"/>
        </w:rPr>
      </w:r>
    </w:p>
  </w:footnote>
  <w:footnote w:id="6">
    <w:p w:rsidR="00000000" w:rsidDel="00000000" w:rsidP="00000000" w:rsidRDefault="00000000" w:rsidRPr="00000000" w14:paraId="00000030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Responsabilités, fonctions publiques.</w:t>
      </w:r>
    </w:p>
  </w:footnote>
  <w:footnote w:id="7">
    <w:p w:rsidR="00000000" w:rsidDel="00000000" w:rsidP="00000000" w:rsidRDefault="00000000" w:rsidRPr="00000000" w14:paraId="00000031">
      <w:pPr>
        <w:spacing w:line="276" w:lineRule="auto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Des métiers manuels ou liés au commerce.</w:t>
      </w:r>
      <w:r w:rsidDel="00000000" w:rsidR="00000000" w:rsidRPr="00000000">
        <w:rPr>
          <w:sz w:val="20"/>
          <w:szCs w:val="20"/>
          <w:rtl w:val="0"/>
        </w:rPr>
        <w:t xml:space="preserve"> 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3550"/>
      </w:tabs>
      <w:spacing w:after="0" w:before="0" w:line="240" w:lineRule="auto"/>
      <w:ind w:left="0" w:right="0" w:firstLine="0"/>
      <w:jc w:val="left"/>
      <w:rPr>
        <w:rFonts w:ascii="Fira Sans Light" w:cs="Fira Sans Light" w:eastAsia="Fira Sans Light" w:hAnsi="Fira Sans Light"/>
        <w:i w:val="0"/>
        <w:smallCaps w:val="0"/>
        <w:strike w:val="0"/>
        <w:color w:val="666666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Fira Sans" w:cs="Fira Sans" w:eastAsia="Fira Sans" w:hAnsi="Fira Sans"/>
        <w:b w:val="1"/>
        <w:color w:val="666666"/>
        <w:sz w:val="22"/>
        <w:szCs w:val="22"/>
        <w:rtl w:val="0"/>
      </w:rPr>
      <w:t xml:space="preserve">Extrait • </w:t>
    </w:r>
    <w:r w:rsidDel="00000000" w:rsidR="00000000" w:rsidRPr="00000000">
      <w:rPr>
        <w:rFonts w:ascii="Fira Sans Light" w:cs="Fira Sans Light" w:eastAsia="Fira Sans Light" w:hAnsi="Fira Sans Light"/>
        <w:color w:val="666666"/>
        <w:sz w:val="22"/>
        <w:szCs w:val="22"/>
        <w:rtl w:val="0"/>
      </w:rPr>
      <w:t xml:space="preserve">A</w:t>
    </w:r>
    <w:r w:rsidDel="00000000" w:rsidR="00000000" w:rsidRPr="00000000">
      <w:rPr>
        <w:rFonts w:ascii="Fira Sans Light" w:cs="Fira Sans Light" w:eastAsia="Fira Sans Light" w:hAnsi="Fira Sans Light"/>
        <w:i w:val="0"/>
        <w:smallCaps w:val="0"/>
        <w:strike w:val="0"/>
        <w:color w:val="666666"/>
        <w:sz w:val="22"/>
        <w:szCs w:val="22"/>
        <w:u w:val="none"/>
        <w:shd w:fill="auto" w:val="clear"/>
        <w:vertAlign w:val="baseline"/>
        <w:rtl w:val="0"/>
      </w:rPr>
      <w:t xml:space="preserve">rticles </w:t>
    </w:r>
    <w:r w:rsidDel="00000000" w:rsidR="00000000" w:rsidRPr="00000000">
      <w:rPr>
        <w:rFonts w:ascii="Fira Sans Light" w:cs="Fira Sans Light" w:eastAsia="Fira Sans Light" w:hAnsi="Fira Sans Light"/>
        <w:color w:val="666666"/>
        <w:sz w:val="22"/>
        <w:szCs w:val="22"/>
        <w:rtl w:val="0"/>
      </w:rPr>
      <w:t xml:space="preserve">X</w:t>
    </w:r>
    <w:r w:rsidDel="00000000" w:rsidR="00000000" w:rsidRPr="00000000">
      <w:rPr>
        <w:rFonts w:ascii="Fira Sans Light" w:cs="Fira Sans Light" w:eastAsia="Fira Sans Light" w:hAnsi="Fira Sans Light"/>
        <w:i w:val="0"/>
        <w:smallCaps w:val="0"/>
        <w:strike w:val="0"/>
        <w:color w:val="666666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Fira Sans Light" w:cs="Fira Sans Light" w:eastAsia="Fira Sans Light" w:hAnsi="Fira Sans Light"/>
        <w:color w:val="666666"/>
        <w:sz w:val="22"/>
        <w:szCs w:val="22"/>
        <w:rtl w:val="0"/>
      </w:rPr>
      <w:t xml:space="preserve">à XIII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1A4A81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fr-FR"/>
    </w:rPr>
  </w:style>
  <w:style w:type="character" w:styleId="Numrodeligne">
    <w:name w:val="line number"/>
    <w:basedOn w:val="Policepardfaut"/>
    <w:uiPriority w:val="99"/>
    <w:semiHidden w:val="1"/>
    <w:unhideWhenUsed w:val="1"/>
    <w:rsid w:val="00122C73"/>
    <w:rPr>
      <w:rFonts w:asciiTheme="majorHAnsi" w:hAnsiTheme="majorHAnsi"/>
      <w:sz w:val="15"/>
    </w:rPr>
  </w:style>
  <w:style w:type="paragraph" w:styleId="En-tte">
    <w:name w:val="header"/>
    <w:basedOn w:val="Normal"/>
    <w:link w:val="En-tteCar"/>
    <w:uiPriority w:val="99"/>
    <w:unhideWhenUsed w:val="1"/>
    <w:rsid w:val="000B629A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0B629A"/>
  </w:style>
  <w:style w:type="paragraph" w:styleId="Pieddepage">
    <w:name w:val="footer"/>
    <w:basedOn w:val="Normal"/>
    <w:link w:val="PieddepageCar"/>
    <w:uiPriority w:val="99"/>
    <w:unhideWhenUsed w:val="1"/>
    <w:rsid w:val="000B629A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0B629A"/>
  </w:style>
  <w:style w:type="paragraph" w:styleId="Notedebasdepage">
    <w:name w:val="footnote text"/>
    <w:basedOn w:val="Normal"/>
    <w:link w:val="NotedebasdepageCar"/>
    <w:uiPriority w:val="99"/>
    <w:semiHidden w:val="1"/>
    <w:unhideWhenUsed w:val="1"/>
    <w:rsid w:val="00122C73"/>
    <w:rPr>
      <w:sz w:val="18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 w:val="1"/>
    <w:rsid w:val="00122C73"/>
    <w:rPr>
      <w:sz w:val="18"/>
      <w:szCs w:val="20"/>
    </w:rPr>
  </w:style>
  <w:style w:type="character" w:styleId="Appelnotedebasdep">
    <w:name w:val="footnote reference"/>
    <w:basedOn w:val="Policepardfaut"/>
    <w:uiPriority w:val="99"/>
    <w:semiHidden w:val="1"/>
    <w:unhideWhenUsed w:val="1"/>
    <w:rsid w:val="000B629A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 w:val="1"/>
    <w:unhideWhenUsed w:val="1"/>
    <w:rsid w:val="00982943"/>
    <w:rPr>
      <w:sz w:val="20"/>
      <w:szCs w:val="20"/>
    </w:rPr>
  </w:style>
  <w:style w:type="character" w:styleId="NotedefinCar" w:customStyle="1">
    <w:name w:val="Note de fin Car"/>
    <w:basedOn w:val="Policepardfaut"/>
    <w:link w:val="Notedefin"/>
    <w:uiPriority w:val="99"/>
    <w:semiHidden w:val="1"/>
    <w:rsid w:val="0098294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 w:val="1"/>
    <w:unhideWhenUsed w:val="1"/>
    <w:rsid w:val="0098294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122C73"/>
    <w:rPr>
      <w:rFonts w:ascii="Times New Roman" w:cs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122C73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FiraSansLight-italic.ttf"/><Relationship Id="rId10" Type="http://schemas.openxmlformats.org/officeDocument/2006/relationships/font" Target="fonts/FiraSansLight-bold.ttf"/><Relationship Id="rId12" Type="http://schemas.openxmlformats.org/officeDocument/2006/relationships/font" Target="fonts/FiraSansLight-boldItalic.ttf"/><Relationship Id="rId9" Type="http://schemas.openxmlformats.org/officeDocument/2006/relationships/font" Target="fonts/FiraSansLight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+n0ziQ/OD/15JU7WQ+p45S112g==">AMUW2mXFb61VaYl+1fziXkSbX2NFEfgF8dp8O2DwkKibf7V7qXQxF+YRnI0q4MbXtkgBXz44z2HVMBPSTqBM860j5rF2BLmS/KRnow1xfGDPHaeb9YTF2/8=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2021-05-19T08:55:00Z</dcterms:created>
  <dc:creator>Céline Grauby</dc:creator>
</cp:coreProperties>
</file>