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Fira Sans Light" w:cs="Fira Sans Light" w:eastAsia="Fira Sans Light" w:hAnsi="Fira Sans Light"/>
          <w:color w:val="666666"/>
          <w:sz w:val="32"/>
          <w:szCs w:val="32"/>
        </w:rPr>
      </w:pPr>
      <w:r w:rsidDel="00000000" w:rsidR="00000000" w:rsidRPr="00000000">
        <w:rPr>
          <w:rFonts w:ascii="Fira Sans Light" w:cs="Fira Sans Light" w:eastAsia="Fira Sans Light" w:hAnsi="Fira Sans Light"/>
          <w:color w:val="666666"/>
          <w:sz w:val="32"/>
          <w:szCs w:val="32"/>
          <w:rtl w:val="0"/>
        </w:rPr>
        <w:t xml:space="preserve">Olympe de Gouges </w:t>
      </w:r>
    </w:p>
    <w:p w:rsidR="00000000" w:rsidDel="00000000" w:rsidP="00000000" w:rsidRDefault="00000000" w:rsidRPr="00000000" w14:paraId="00000002">
      <w:pPr>
        <w:rPr>
          <w:rFonts w:ascii="Fira Sans Light" w:cs="Fira Sans Light" w:eastAsia="Fira Sans Light" w:hAnsi="Fira Sans Light"/>
          <w:i w:val="1"/>
          <w:color w:val="666666"/>
          <w:sz w:val="32"/>
          <w:szCs w:val="32"/>
        </w:rPr>
      </w:pPr>
      <w:r w:rsidDel="00000000" w:rsidR="00000000" w:rsidRPr="00000000">
        <w:rPr>
          <w:rFonts w:ascii="Fira Sans Light" w:cs="Fira Sans Light" w:eastAsia="Fira Sans Light" w:hAnsi="Fira Sans Light"/>
          <w:i w:val="1"/>
          <w:color w:val="666666"/>
          <w:sz w:val="32"/>
          <w:szCs w:val="32"/>
          <w:rtl w:val="0"/>
        </w:rPr>
        <w:t xml:space="preserve">Déclaration des droits de la femme et de la citoyenne </w:t>
      </w:r>
      <w:r w:rsidDel="00000000" w:rsidR="00000000" w:rsidRPr="00000000">
        <w:rPr>
          <w:rFonts w:ascii="Fira Sans Light" w:cs="Fira Sans Light" w:eastAsia="Fira Sans Light" w:hAnsi="Fira Sans Light"/>
          <w:color w:val="666666"/>
          <w:sz w:val="32"/>
          <w:szCs w:val="32"/>
          <w:rtl w:val="0"/>
        </w:rPr>
        <w:t xml:space="preserve">(1791)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36" w:lineRule="auto"/>
        <w:ind w:left="-425.19685039370086" w:firstLine="0"/>
        <w:jc w:val="left"/>
        <w:rPr>
          <w:rFonts w:ascii="Garamond" w:cs="Garamond" w:eastAsia="Garamond" w:hAnsi="Garamond"/>
          <w:color w:val="202122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480.0" w:type="dxa"/>
        <w:jc w:val="left"/>
        <w:tblInd w:w="-325.19685039370086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35"/>
        <w:gridCol w:w="9045"/>
        <w:tblGridChange w:id="0">
          <w:tblGrid>
            <w:gridCol w:w="435"/>
            <w:gridCol w:w="904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35.99999999999994" w:lineRule="auto"/>
              <w:ind w:left="0" w:right="0" w:firstLine="0"/>
              <w:jc w:val="left"/>
              <w:rPr>
                <w:rFonts w:ascii="Garamond" w:cs="Garamond" w:eastAsia="Garamond" w:hAnsi="Garamond"/>
                <w:color w:val="202122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35.99999999999994" w:lineRule="auto"/>
              <w:ind w:left="0" w:right="0" w:firstLine="0"/>
              <w:jc w:val="left"/>
              <w:rPr>
                <w:rFonts w:ascii="Garamond" w:cs="Garamond" w:eastAsia="Garamond" w:hAnsi="Garamond"/>
                <w:color w:val="202122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24.80000000000007" w:lineRule="auto"/>
              <w:ind w:left="0" w:right="0" w:firstLine="0"/>
              <w:jc w:val="left"/>
              <w:rPr>
                <w:rFonts w:ascii="Garamond" w:cs="Garamond" w:eastAsia="Garamond" w:hAnsi="Garamond"/>
                <w:color w:val="202122"/>
                <w:sz w:val="18"/>
                <w:szCs w:val="18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202122"/>
                <w:sz w:val="18"/>
                <w:szCs w:val="18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24.80000000000007" w:lineRule="auto"/>
              <w:ind w:left="0" w:right="0" w:firstLine="0"/>
              <w:jc w:val="left"/>
              <w:rPr>
                <w:rFonts w:ascii="Garamond" w:cs="Garamond" w:eastAsia="Garamond" w:hAnsi="Garamond"/>
                <w:color w:val="202122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24.80000000000007" w:lineRule="auto"/>
              <w:ind w:left="0" w:right="0" w:firstLine="0"/>
              <w:jc w:val="left"/>
              <w:rPr>
                <w:rFonts w:ascii="Garamond" w:cs="Garamond" w:eastAsia="Garamond" w:hAnsi="Garamond"/>
                <w:color w:val="202122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24.80000000000007" w:lineRule="auto"/>
              <w:ind w:left="0" w:right="0" w:firstLine="0"/>
              <w:jc w:val="left"/>
              <w:rPr>
                <w:rFonts w:ascii="Garamond" w:cs="Garamond" w:eastAsia="Garamond" w:hAnsi="Garamond"/>
                <w:color w:val="202122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24.80000000000007" w:lineRule="auto"/>
              <w:ind w:left="0" w:right="0" w:firstLine="0"/>
              <w:jc w:val="left"/>
              <w:rPr>
                <w:rFonts w:ascii="Garamond" w:cs="Garamond" w:eastAsia="Garamond" w:hAnsi="Garamond"/>
                <w:color w:val="202122"/>
                <w:sz w:val="18"/>
                <w:szCs w:val="18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202122"/>
                <w:sz w:val="18"/>
                <w:szCs w:val="18"/>
                <w:rtl w:val="0"/>
              </w:rPr>
              <w:t xml:space="preserve">5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24.80000000000007" w:lineRule="auto"/>
              <w:ind w:left="0" w:right="0" w:firstLine="0"/>
              <w:jc w:val="left"/>
              <w:rPr>
                <w:rFonts w:ascii="Garamond" w:cs="Garamond" w:eastAsia="Garamond" w:hAnsi="Garamond"/>
                <w:color w:val="202122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24.80000000000007" w:lineRule="auto"/>
              <w:ind w:left="0" w:right="0" w:firstLine="0"/>
              <w:jc w:val="left"/>
              <w:rPr>
                <w:rFonts w:ascii="Garamond" w:cs="Garamond" w:eastAsia="Garamond" w:hAnsi="Garamond"/>
                <w:color w:val="202122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24.80000000000007" w:lineRule="auto"/>
              <w:ind w:left="0" w:right="0" w:firstLine="0"/>
              <w:jc w:val="left"/>
              <w:rPr>
                <w:rFonts w:ascii="Garamond" w:cs="Garamond" w:eastAsia="Garamond" w:hAnsi="Garamond"/>
                <w:color w:val="202122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24.80000000000007" w:lineRule="auto"/>
              <w:ind w:left="0" w:right="0" w:firstLine="0"/>
              <w:jc w:val="left"/>
              <w:rPr>
                <w:rFonts w:ascii="Garamond" w:cs="Garamond" w:eastAsia="Garamond" w:hAnsi="Garamond"/>
                <w:color w:val="202122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24.80000000000007" w:lineRule="auto"/>
              <w:ind w:left="0" w:right="0" w:firstLine="0"/>
              <w:jc w:val="left"/>
              <w:rPr>
                <w:rFonts w:ascii="Garamond" w:cs="Garamond" w:eastAsia="Garamond" w:hAnsi="Garamond"/>
                <w:color w:val="202122"/>
                <w:sz w:val="18"/>
                <w:szCs w:val="18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202122"/>
                <w:sz w:val="18"/>
                <w:szCs w:val="18"/>
                <w:rtl w:val="0"/>
              </w:rPr>
              <w:t xml:space="preserve">10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24.80000000000007" w:lineRule="auto"/>
              <w:ind w:left="0" w:right="0" w:firstLine="0"/>
              <w:jc w:val="left"/>
              <w:rPr>
                <w:rFonts w:ascii="Garamond" w:cs="Garamond" w:eastAsia="Garamond" w:hAnsi="Garamond"/>
                <w:color w:val="202122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24.80000000000007" w:lineRule="auto"/>
              <w:ind w:left="0" w:right="0" w:firstLine="0"/>
              <w:jc w:val="left"/>
              <w:rPr>
                <w:rFonts w:ascii="Garamond" w:cs="Garamond" w:eastAsia="Garamond" w:hAnsi="Garamond"/>
                <w:color w:val="202122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24.80000000000007" w:lineRule="auto"/>
              <w:ind w:left="0" w:right="0" w:firstLine="0"/>
              <w:jc w:val="left"/>
              <w:rPr>
                <w:rFonts w:ascii="Garamond" w:cs="Garamond" w:eastAsia="Garamond" w:hAnsi="Garamond"/>
                <w:color w:val="202122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24.80000000000007" w:lineRule="auto"/>
              <w:ind w:left="0" w:right="0" w:firstLine="0"/>
              <w:jc w:val="left"/>
              <w:rPr>
                <w:rFonts w:ascii="Garamond" w:cs="Garamond" w:eastAsia="Garamond" w:hAnsi="Garamond"/>
                <w:color w:val="202122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24.80000000000007" w:lineRule="auto"/>
              <w:ind w:left="0" w:right="0" w:firstLine="0"/>
              <w:jc w:val="left"/>
              <w:rPr>
                <w:rFonts w:ascii="Garamond" w:cs="Garamond" w:eastAsia="Garamond" w:hAnsi="Garamond"/>
                <w:color w:val="202122"/>
                <w:sz w:val="18"/>
                <w:szCs w:val="18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202122"/>
                <w:sz w:val="18"/>
                <w:szCs w:val="18"/>
                <w:rtl w:val="0"/>
              </w:rPr>
              <w:t xml:space="preserve">15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spacing w:after="0" w:before="0" w:line="335.99999999999994" w:lineRule="auto"/>
              <w:ind w:left="0" w:firstLine="0"/>
              <w:jc w:val="center"/>
              <w:rPr>
                <w:rFonts w:ascii="Garamond" w:cs="Garamond" w:eastAsia="Garamond" w:hAnsi="Garamond"/>
                <w:color w:val="202122"/>
                <w:sz w:val="22"/>
                <w:szCs w:val="22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2"/>
                <w:szCs w:val="22"/>
                <w:rtl w:val="0"/>
              </w:rPr>
              <w:t xml:space="preserve">P</w:t>
            </w:r>
            <w:r w:rsidDel="00000000" w:rsidR="00000000" w:rsidRPr="00000000">
              <w:rPr>
                <w:rFonts w:ascii="Garamond" w:cs="Garamond" w:eastAsia="Garamond" w:hAnsi="Garamond"/>
                <w:color w:val="202122"/>
                <w:sz w:val="22"/>
                <w:szCs w:val="22"/>
                <w:rtl w:val="0"/>
              </w:rPr>
              <w:t xml:space="preserve">OSTAMBULE.</w:t>
            </w:r>
          </w:p>
          <w:p w:rsidR="00000000" w:rsidDel="00000000" w:rsidP="00000000" w:rsidRDefault="00000000" w:rsidRPr="00000000" w14:paraId="00000016">
            <w:pPr>
              <w:spacing w:after="0" w:before="0" w:line="335.99999999999994" w:lineRule="auto"/>
              <w:ind w:left="0" w:firstLine="0"/>
              <w:jc w:val="center"/>
              <w:rPr>
                <w:rFonts w:ascii="Garamond" w:cs="Garamond" w:eastAsia="Garamond" w:hAnsi="Garamond"/>
                <w:color w:val="202122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after="0" w:before="0" w:line="335.99999999999994" w:lineRule="auto"/>
              <w:jc w:val="both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202122"/>
                <w:sz w:val="22"/>
                <w:szCs w:val="22"/>
                <w:rtl w:val="0"/>
              </w:rPr>
              <w:t xml:space="preserve">Femme, réveille-toi ; le tocsin</w:t>
            </w:r>
            <w:r w:rsidDel="00000000" w:rsidR="00000000" w:rsidRPr="00000000">
              <w:rPr>
                <w:rFonts w:ascii="Garamond" w:cs="Garamond" w:eastAsia="Garamond" w:hAnsi="Garamond"/>
                <w:color w:val="202122"/>
                <w:sz w:val="22"/>
                <w:szCs w:val="22"/>
                <w:vertAlign w:val="superscript"/>
              </w:rPr>
              <w:footnoteReference w:customMarkFollows="0" w:id="0"/>
            </w:r>
            <w:r w:rsidDel="00000000" w:rsidR="00000000" w:rsidRPr="00000000">
              <w:rPr>
                <w:rFonts w:ascii="Garamond" w:cs="Garamond" w:eastAsia="Garamond" w:hAnsi="Garamond"/>
                <w:color w:val="202122"/>
                <w:sz w:val="22"/>
                <w:szCs w:val="22"/>
                <w:rtl w:val="0"/>
              </w:rPr>
              <w:t xml:space="preserve"> de la raison se fait entendre dans tout l’univers ; reconnais tes droits. Le puissant empire de la nature n’est plus environné de préjugés, de fanatisme, de superstition et de mensonges. Le flambeau de la vérité a dissipé tous les nuages de la sottise et de l’usurpation</w:t>
            </w:r>
            <w:r w:rsidDel="00000000" w:rsidR="00000000" w:rsidRPr="00000000">
              <w:rPr>
                <w:rFonts w:ascii="Garamond" w:cs="Garamond" w:eastAsia="Garamond" w:hAnsi="Garamond"/>
                <w:color w:val="202122"/>
                <w:sz w:val="22"/>
                <w:szCs w:val="22"/>
                <w:vertAlign w:val="superscript"/>
              </w:rPr>
              <w:footnoteReference w:customMarkFollows="0" w:id="1"/>
            </w:r>
            <w:r w:rsidDel="00000000" w:rsidR="00000000" w:rsidRPr="00000000">
              <w:rPr>
                <w:rFonts w:ascii="Garamond" w:cs="Garamond" w:eastAsia="Garamond" w:hAnsi="Garamond"/>
                <w:color w:val="202122"/>
                <w:sz w:val="22"/>
                <w:szCs w:val="22"/>
                <w:rtl w:val="0"/>
              </w:rPr>
              <w:t xml:space="preserve">. L’homme esclave a multiplié ses forces, a eu besoin de recourir aux tiennes pour briser ses fers. Devenu libre, il est devenu injuste envers sa compagne. Ô femmes ! femmes, quand cesserez-vous d’être aveugles ? Quels sont les avantages que vous avez recueillis dans la Révolution ? Un mépris plus marqué, un dédain plus signalé. Dans les siècles de corruption vous n’avez régné que sur la faiblesse des hommes. Votre empire</w:t>
            </w:r>
            <w:r w:rsidDel="00000000" w:rsidR="00000000" w:rsidRPr="00000000">
              <w:rPr>
                <w:rFonts w:ascii="Garamond" w:cs="Garamond" w:eastAsia="Garamond" w:hAnsi="Garamond"/>
                <w:color w:val="202122"/>
                <w:sz w:val="22"/>
                <w:szCs w:val="22"/>
                <w:vertAlign w:val="superscript"/>
              </w:rPr>
              <w:footnoteReference w:customMarkFollows="0" w:id="2"/>
            </w:r>
            <w:r w:rsidDel="00000000" w:rsidR="00000000" w:rsidRPr="00000000">
              <w:rPr>
                <w:rFonts w:ascii="Garamond" w:cs="Garamond" w:eastAsia="Garamond" w:hAnsi="Garamond"/>
                <w:color w:val="202122"/>
                <w:sz w:val="22"/>
                <w:szCs w:val="22"/>
                <w:rtl w:val="0"/>
              </w:rPr>
              <w:t xml:space="preserve"> est détruit ; que vous reste-t-il donc ? La conviction des injustices de l’homme. La réclamation de votre patrimoine, fondée sur les sages décrets</w:t>
            </w:r>
            <w:r w:rsidDel="00000000" w:rsidR="00000000" w:rsidRPr="00000000">
              <w:rPr>
                <w:rFonts w:ascii="Garamond" w:cs="Garamond" w:eastAsia="Garamond" w:hAnsi="Garamond"/>
                <w:color w:val="202122"/>
                <w:sz w:val="22"/>
                <w:szCs w:val="22"/>
                <w:vertAlign w:val="superscript"/>
              </w:rPr>
              <w:footnoteReference w:customMarkFollows="0" w:id="3"/>
            </w:r>
            <w:r w:rsidDel="00000000" w:rsidR="00000000" w:rsidRPr="00000000">
              <w:rPr>
                <w:rFonts w:ascii="Garamond" w:cs="Garamond" w:eastAsia="Garamond" w:hAnsi="Garamond"/>
                <w:color w:val="202122"/>
                <w:sz w:val="22"/>
                <w:szCs w:val="22"/>
                <w:rtl w:val="0"/>
              </w:rPr>
              <w:t xml:space="preserve"> de la nature.  Qu’auriez-vous à redouter pour une si belle entreprise</w:t>
            </w:r>
            <w:r w:rsidDel="00000000" w:rsidR="00000000" w:rsidRPr="00000000">
              <w:rPr>
                <w:rFonts w:ascii="Garamond" w:cs="Garamond" w:eastAsia="Garamond" w:hAnsi="Garamond"/>
                <w:color w:val="202122"/>
                <w:sz w:val="22"/>
                <w:szCs w:val="22"/>
                <w:vertAlign w:val="superscript"/>
              </w:rPr>
              <w:footnoteReference w:customMarkFollows="0" w:id="4"/>
            </w:r>
            <w:r w:rsidDel="00000000" w:rsidR="00000000" w:rsidRPr="00000000">
              <w:rPr>
                <w:rFonts w:ascii="Garamond" w:cs="Garamond" w:eastAsia="Garamond" w:hAnsi="Garamond"/>
                <w:color w:val="202122"/>
                <w:sz w:val="22"/>
                <w:szCs w:val="22"/>
                <w:rtl w:val="0"/>
              </w:rPr>
              <w:t xml:space="preserve"> ? Le bon mot du législateur des noces de Cana</w:t>
            </w:r>
            <w:r w:rsidDel="00000000" w:rsidR="00000000" w:rsidRPr="00000000">
              <w:rPr>
                <w:rFonts w:ascii="Garamond" w:cs="Garamond" w:eastAsia="Garamond" w:hAnsi="Garamond"/>
                <w:color w:val="202122"/>
                <w:sz w:val="22"/>
                <w:szCs w:val="22"/>
                <w:vertAlign w:val="superscript"/>
              </w:rPr>
              <w:footnoteReference w:customMarkFollows="0" w:id="5"/>
            </w:r>
            <w:r w:rsidDel="00000000" w:rsidR="00000000" w:rsidRPr="00000000">
              <w:rPr>
                <w:rFonts w:ascii="Garamond" w:cs="Garamond" w:eastAsia="Garamond" w:hAnsi="Garamond"/>
                <w:color w:val="202122"/>
                <w:sz w:val="22"/>
                <w:szCs w:val="22"/>
                <w:rtl w:val="0"/>
              </w:rPr>
              <w:t xml:space="preserve"> ? Craignez-vous que nos législateurs français, correcteurs de cette morale longtemps accrochée aux branches de la politique, mais qui n’est plus de saison</w:t>
            </w:r>
            <w:r w:rsidDel="00000000" w:rsidR="00000000" w:rsidRPr="00000000">
              <w:rPr>
                <w:rFonts w:ascii="Garamond" w:cs="Garamond" w:eastAsia="Garamond" w:hAnsi="Garamond"/>
                <w:color w:val="202122"/>
                <w:sz w:val="22"/>
                <w:szCs w:val="22"/>
                <w:vertAlign w:val="superscript"/>
              </w:rPr>
              <w:footnoteReference w:customMarkFollows="0" w:id="6"/>
            </w:r>
            <w:r w:rsidDel="00000000" w:rsidR="00000000" w:rsidRPr="00000000">
              <w:rPr>
                <w:rFonts w:ascii="Garamond" w:cs="Garamond" w:eastAsia="Garamond" w:hAnsi="Garamond"/>
                <w:color w:val="202122"/>
                <w:sz w:val="22"/>
                <w:szCs w:val="22"/>
                <w:rtl w:val="0"/>
              </w:rPr>
              <w:t xml:space="preserve">, ne vous répètent : « Femmes, qu’y a-t-il de commun entre vous et nous ? » « Tout », auriez-vous à répondre. S’ils s’obstinaient, dans leur faiblesse, à mettre cette inconséquence</w:t>
            </w:r>
            <w:r w:rsidDel="00000000" w:rsidR="00000000" w:rsidRPr="00000000">
              <w:rPr>
                <w:rFonts w:ascii="Garamond" w:cs="Garamond" w:eastAsia="Garamond" w:hAnsi="Garamond"/>
                <w:color w:val="202122"/>
                <w:sz w:val="22"/>
                <w:szCs w:val="22"/>
                <w:vertAlign w:val="superscript"/>
              </w:rPr>
              <w:footnoteReference w:customMarkFollows="0" w:id="7"/>
            </w:r>
            <w:r w:rsidDel="00000000" w:rsidR="00000000" w:rsidRPr="00000000">
              <w:rPr>
                <w:rFonts w:ascii="Garamond" w:cs="Garamond" w:eastAsia="Garamond" w:hAnsi="Garamond"/>
                <w:color w:val="202122"/>
                <w:sz w:val="22"/>
                <w:szCs w:val="22"/>
                <w:rtl w:val="0"/>
              </w:rPr>
              <w:t xml:space="preserve"> en contradiction avec leurs principes, opposez courageusement la force de la raison aux vaines prétentions de supériorité, réunissez-vous sous les étendards de la philosophie, déployez toute l’énergie de votre caractère, et vous verrez bientôt ces orgueilleux, non serviles</w:t>
            </w:r>
            <w:r w:rsidDel="00000000" w:rsidR="00000000" w:rsidRPr="00000000">
              <w:rPr>
                <w:rFonts w:ascii="Garamond" w:cs="Garamond" w:eastAsia="Garamond" w:hAnsi="Garamond"/>
                <w:color w:val="202122"/>
                <w:sz w:val="22"/>
                <w:szCs w:val="22"/>
                <w:vertAlign w:val="superscript"/>
              </w:rPr>
              <w:footnoteReference w:customMarkFollows="0" w:id="8"/>
            </w:r>
            <w:r w:rsidDel="00000000" w:rsidR="00000000" w:rsidRPr="00000000">
              <w:rPr>
                <w:rFonts w:ascii="Garamond" w:cs="Garamond" w:eastAsia="Garamond" w:hAnsi="Garamond"/>
                <w:color w:val="202122"/>
                <w:sz w:val="22"/>
                <w:szCs w:val="22"/>
                <w:rtl w:val="0"/>
              </w:rPr>
              <w:t xml:space="preserve"> adorateurs rampants à vos pieds, mais fiers de partager avec vous les trésors de l’Être suprême. Quelles que soient les barrières que l’on vous oppose, il est en votre pouvoir de les affranchir</w:t>
            </w:r>
            <w:r w:rsidDel="00000000" w:rsidR="00000000" w:rsidRPr="00000000">
              <w:rPr>
                <w:rFonts w:ascii="Garamond" w:cs="Garamond" w:eastAsia="Garamond" w:hAnsi="Garamond"/>
                <w:color w:val="202122"/>
                <w:sz w:val="22"/>
                <w:szCs w:val="22"/>
                <w:vertAlign w:val="superscript"/>
              </w:rPr>
              <w:footnoteReference w:customMarkFollows="0" w:id="9"/>
            </w:r>
            <w:r w:rsidDel="00000000" w:rsidR="00000000" w:rsidRPr="00000000">
              <w:rPr>
                <w:rFonts w:ascii="Garamond" w:cs="Garamond" w:eastAsia="Garamond" w:hAnsi="Garamond"/>
                <w:color w:val="202122"/>
                <w:sz w:val="22"/>
                <w:szCs w:val="22"/>
                <w:rtl w:val="0"/>
              </w:rPr>
              <w:t xml:space="preserve"> ; vous n’avez qu’à le vouloir.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35.99999999999994" w:lineRule="auto"/>
              <w:ind w:left="0" w:right="0" w:firstLine="0"/>
              <w:jc w:val="left"/>
              <w:rPr>
                <w:rFonts w:ascii="Garamond" w:cs="Garamond" w:eastAsia="Garamond" w:hAnsi="Garamond"/>
                <w:color w:val="202122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9">
      <w:pPr>
        <w:spacing w:line="336" w:lineRule="auto"/>
        <w:ind w:left="-425.19685039370086" w:firstLine="0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6838" w:w="11906" w:orient="portrait"/>
      <w:pgMar w:bottom="1417" w:top="1275.5905511811022" w:left="1417" w:right="1417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Fira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Fira Sans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0" distR="0">
          <wp:extent cx="1523367" cy="296275"/>
          <wp:effectExtent b="0" l="0" r="0" t="0"/>
          <wp:docPr id="7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523367" cy="2962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otnote w:id="0">
    <w:p w:rsidR="00000000" w:rsidDel="00000000" w:rsidP="00000000" w:rsidRDefault="00000000" w:rsidRPr="00000000" w14:paraId="0000001C">
      <w:pPr>
        <w:rPr>
          <w:rFonts w:ascii="Times New Roman" w:cs="Times New Roman" w:eastAsia="Times New Roman" w:hAnsi="Times New Roman"/>
          <w:sz w:val="18"/>
          <w:szCs w:val="18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18"/>
          <w:szCs w:val="18"/>
          <w:rtl w:val="0"/>
        </w:rPr>
        <w:t xml:space="preserve"> Cloche que l’on sonne de manière prolongée pour alerter d’un danger grave (une catastrophe naturelle, une guerre, etc.).</w:t>
      </w:r>
      <w:r w:rsidDel="00000000" w:rsidR="00000000" w:rsidRPr="00000000">
        <w:rPr>
          <w:rtl w:val="0"/>
        </w:rPr>
      </w:r>
    </w:p>
  </w:footnote>
  <w:footnote w:id="1">
    <w:p w:rsidR="00000000" w:rsidDel="00000000" w:rsidP="00000000" w:rsidRDefault="00000000" w:rsidRPr="00000000" w14:paraId="0000001D">
      <w:pPr>
        <w:rPr>
          <w:rFonts w:ascii="Times New Roman" w:cs="Times New Roman" w:eastAsia="Times New Roman" w:hAnsi="Times New Roman"/>
          <w:sz w:val="18"/>
          <w:szCs w:val="18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18"/>
          <w:szCs w:val="18"/>
          <w:rtl w:val="0"/>
        </w:rPr>
        <w:t xml:space="preserve"> Fait de s’attribuer quelque chose de façon illégitime, sans y avoir droit.</w:t>
      </w:r>
      <w:r w:rsidDel="00000000" w:rsidR="00000000" w:rsidRPr="00000000">
        <w:rPr>
          <w:rtl w:val="0"/>
        </w:rPr>
      </w:r>
    </w:p>
  </w:footnote>
  <w:footnote w:id="2">
    <w:p w:rsidR="00000000" w:rsidDel="00000000" w:rsidP="00000000" w:rsidRDefault="00000000" w:rsidRPr="00000000" w14:paraId="0000001E">
      <w:pPr>
        <w:rPr>
          <w:rFonts w:ascii="Times New Roman" w:cs="Times New Roman" w:eastAsia="Times New Roman" w:hAnsi="Times New Roman"/>
          <w:sz w:val="18"/>
          <w:szCs w:val="18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18"/>
          <w:szCs w:val="18"/>
          <w:rtl w:val="0"/>
        </w:rPr>
        <w:t xml:space="preserve"> Pouvoir, influence.</w:t>
      </w:r>
      <w:r w:rsidDel="00000000" w:rsidR="00000000" w:rsidRPr="00000000">
        <w:rPr>
          <w:rtl w:val="0"/>
        </w:rPr>
      </w:r>
    </w:p>
  </w:footnote>
  <w:footnote w:id="3">
    <w:p w:rsidR="00000000" w:rsidDel="00000000" w:rsidP="00000000" w:rsidRDefault="00000000" w:rsidRPr="00000000" w14:paraId="0000001F">
      <w:pPr>
        <w:rPr>
          <w:rFonts w:ascii="Times New Roman" w:cs="Times New Roman" w:eastAsia="Times New Roman" w:hAnsi="Times New Roman"/>
          <w:sz w:val="18"/>
          <w:szCs w:val="18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18"/>
          <w:szCs w:val="18"/>
          <w:rtl w:val="0"/>
        </w:rPr>
        <w:t xml:space="preserve"> Lois.</w:t>
      </w:r>
      <w:r w:rsidDel="00000000" w:rsidR="00000000" w:rsidRPr="00000000">
        <w:rPr>
          <w:rtl w:val="0"/>
        </w:rPr>
      </w:r>
    </w:p>
  </w:footnote>
  <w:footnote w:id="4">
    <w:p w:rsidR="00000000" w:rsidDel="00000000" w:rsidP="00000000" w:rsidRDefault="00000000" w:rsidRPr="00000000" w14:paraId="00000020">
      <w:pPr>
        <w:rPr>
          <w:rFonts w:ascii="Times New Roman" w:cs="Times New Roman" w:eastAsia="Times New Roman" w:hAnsi="Times New Roman"/>
          <w:sz w:val="18"/>
          <w:szCs w:val="18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18"/>
          <w:szCs w:val="18"/>
          <w:rtl w:val="0"/>
        </w:rPr>
        <w:t xml:space="preserve"> Action, projet.</w:t>
      </w:r>
      <w:r w:rsidDel="00000000" w:rsidR="00000000" w:rsidRPr="00000000">
        <w:rPr>
          <w:rtl w:val="0"/>
        </w:rPr>
      </w:r>
    </w:p>
  </w:footnote>
  <w:footnote w:id="5">
    <w:p w:rsidR="00000000" w:rsidDel="00000000" w:rsidP="00000000" w:rsidRDefault="00000000" w:rsidRPr="00000000" w14:paraId="00000021">
      <w:pPr>
        <w:jc w:val="both"/>
        <w:rPr>
          <w:rFonts w:ascii="Times New Roman" w:cs="Times New Roman" w:eastAsia="Times New Roman" w:hAnsi="Times New Roman"/>
          <w:sz w:val="18"/>
          <w:szCs w:val="18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18"/>
          <w:szCs w:val="18"/>
          <w:rtl w:val="0"/>
        </w:rPr>
        <w:t xml:space="preserve"> Dans l’épisode biblique des noces de cana, relaté dans l’évangile selon saint Jean (Jean 2, 1-11), Jésus répond à sa mère qui l’informe que les invités n’ont plus de vin : « Femme, que me veux-tu ? », ou dans une autre traduction à laquelle Gouges fait référence à la phrase suivante : « Femme, qu’y a-t-il de commun entre toi et moi ? » Cette phrase a souvent été utilisée pour montrer la misogynie du Christ, de la religion chrétienne. On peut l’interpréter d’une autre manière : Jésus, par le mot « femme », renvoie sa mère à sa condition d’être humain, tandis que lui, fils de Dieu, s’apprête à accomplir son premier miracle en changeant de l’eau en vin, et ainsi à révéler sa nature divine. La traduction littérale, qui serait : « Femme, quoi, de toi à moi ? » peut être reformulée d’autres manières, par exemple : « Femme, qu’attends-tu de moi ? »</w:t>
      </w:r>
      <w:r w:rsidDel="00000000" w:rsidR="00000000" w:rsidRPr="00000000">
        <w:rPr>
          <w:rtl w:val="0"/>
        </w:rPr>
      </w:r>
    </w:p>
  </w:footnote>
  <w:footnote w:id="6">
    <w:p w:rsidR="00000000" w:rsidDel="00000000" w:rsidP="00000000" w:rsidRDefault="00000000" w:rsidRPr="00000000" w14:paraId="00000022">
      <w:pPr>
        <w:jc w:val="both"/>
        <w:rPr>
          <w:rFonts w:ascii="Times New Roman" w:cs="Times New Roman" w:eastAsia="Times New Roman" w:hAnsi="Times New Roman"/>
          <w:sz w:val="18"/>
          <w:szCs w:val="18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18"/>
          <w:szCs w:val="18"/>
          <w:rtl w:val="0"/>
        </w:rPr>
        <w:t xml:space="preserve"> Qui n’est plus d’actualité. La Révolution française a posé les bases de la laïcité, de la dissociation entre l’Église et l’État (voir par exemple l’article X de la </w:t>
      </w:r>
      <w:r w:rsidDel="00000000" w:rsidR="00000000" w:rsidRPr="00000000">
        <w:rPr>
          <w:i w:val="1"/>
          <w:sz w:val="18"/>
          <w:szCs w:val="18"/>
          <w:rtl w:val="0"/>
        </w:rPr>
        <w:t xml:space="preserve">Déclaration des droits de l’homme et du citoyen</w:t>
      </w:r>
      <w:r w:rsidDel="00000000" w:rsidR="00000000" w:rsidRPr="00000000">
        <w:rPr>
          <w:sz w:val="18"/>
          <w:szCs w:val="18"/>
          <w:rtl w:val="0"/>
        </w:rPr>
        <w:t xml:space="preserve">).</w:t>
      </w:r>
      <w:r w:rsidDel="00000000" w:rsidR="00000000" w:rsidRPr="00000000">
        <w:rPr>
          <w:rtl w:val="0"/>
        </w:rPr>
      </w:r>
    </w:p>
  </w:footnote>
  <w:footnote w:id="7">
    <w:p w:rsidR="00000000" w:rsidDel="00000000" w:rsidP="00000000" w:rsidRDefault="00000000" w:rsidRPr="00000000" w14:paraId="00000023">
      <w:pPr>
        <w:rPr>
          <w:rFonts w:ascii="Times New Roman" w:cs="Times New Roman" w:eastAsia="Times New Roman" w:hAnsi="Times New Roman"/>
          <w:sz w:val="18"/>
          <w:szCs w:val="18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18"/>
          <w:szCs w:val="18"/>
          <w:rtl w:val="0"/>
        </w:rPr>
        <w:t xml:space="preserve"> Réponse inattendue, provocation.</w:t>
      </w:r>
      <w:r w:rsidDel="00000000" w:rsidR="00000000" w:rsidRPr="00000000">
        <w:rPr>
          <w:rtl w:val="0"/>
        </w:rPr>
      </w:r>
    </w:p>
  </w:footnote>
  <w:footnote w:id="8">
    <w:p w:rsidR="00000000" w:rsidDel="00000000" w:rsidP="00000000" w:rsidRDefault="00000000" w:rsidRPr="00000000" w14:paraId="00000024">
      <w:pPr>
        <w:rPr>
          <w:rFonts w:ascii="Times New Roman" w:cs="Times New Roman" w:eastAsia="Times New Roman" w:hAnsi="Times New Roman"/>
          <w:sz w:val="18"/>
          <w:szCs w:val="18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18"/>
          <w:szCs w:val="18"/>
          <w:rtl w:val="0"/>
        </w:rPr>
        <w:t xml:space="preserve"> Soumis.</w:t>
      </w:r>
      <w:r w:rsidDel="00000000" w:rsidR="00000000" w:rsidRPr="00000000">
        <w:rPr>
          <w:rtl w:val="0"/>
        </w:rPr>
      </w:r>
    </w:p>
  </w:footnote>
  <w:footnote w:id="9">
    <w:p w:rsidR="00000000" w:rsidDel="00000000" w:rsidP="00000000" w:rsidRDefault="00000000" w:rsidRPr="00000000" w14:paraId="00000025">
      <w:pPr>
        <w:rPr>
          <w:rFonts w:ascii="Times New Roman" w:cs="Times New Roman" w:eastAsia="Times New Roman" w:hAnsi="Times New Roman"/>
          <w:sz w:val="18"/>
          <w:szCs w:val="18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18"/>
          <w:szCs w:val="18"/>
          <w:rtl w:val="0"/>
        </w:rPr>
        <w:t xml:space="preserve"> Franchir ; on peut comprendre aussi : de vous en affranchir, de vous en libérer.</w:t>
      </w:r>
      <w:r w:rsidDel="00000000" w:rsidR="00000000" w:rsidRPr="00000000">
        <w:rPr>
          <w:rtl w:val="0"/>
        </w:rPr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  <w:tab w:val="left" w:pos="3550"/>
      </w:tabs>
      <w:spacing w:after="0" w:before="0" w:line="240" w:lineRule="auto"/>
      <w:ind w:left="0" w:right="0" w:firstLine="0"/>
      <w:jc w:val="left"/>
      <w:rPr>
        <w:rFonts w:ascii="Fira Sans Light" w:cs="Fira Sans Light" w:eastAsia="Fira Sans Light" w:hAnsi="Fira Sans Light"/>
        <w:i w:val="0"/>
        <w:smallCaps w:val="0"/>
        <w:strike w:val="0"/>
        <w:color w:val="666666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Fira Sans" w:cs="Fira Sans" w:eastAsia="Fira Sans" w:hAnsi="Fira Sans"/>
        <w:b w:val="1"/>
        <w:color w:val="666666"/>
        <w:sz w:val="22"/>
        <w:szCs w:val="22"/>
        <w:rtl w:val="0"/>
      </w:rPr>
      <w:t xml:space="preserve">Extrait • </w:t>
    </w:r>
    <w:r w:rsidDel="00000000" w:rsidR="00000000" w:rsidRPr="00000000">
      <w:rPr>
        <w:rFonts w:ascii="Fira Sans Light" w:cs="Fira Sans Light" w:eastAsia="Fira Sans Light" w:hAnsi="Fira Sans Light"/>
        <w:color w:val="666666"/>
        <w:sz w:val="22"/>
        <w:szCs w:val="22"/>
        <w:rtl w:val="0"/>
      </w:rPr>
      <w:t xml:space="preserve">« Femme, réveille-toi »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fr-F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paragraph" w:styleId="NormalWeb">
    <w:name w:val="Normal (Web)"/>
    <w:basedOn w:val="Normal"/>
    <w:uiPriority w:val="99"/>
    <w:unhideWhenUsed w:val="1"/>
    <w:rsid w:val="001A4A81"/>
    <w:pPr>
      <w:spacing w:after="100" w:afterAutospacing="1" w:before="100" w:beforeAutospacing="1"/>
    </w:pPr>
    <w:rPr>
      <w:rFonts w:ascii="Times New Roman" w:cs="Times New Roman" w:eastAsia="Times New Roman" w:hAnsi="Times New Roman"/>
      <w:lang w:eastAsia="fr-FR"/>
    </w:rPr>
  </w:style>
  <w:style w:type="character" w:styleId="Numrodeligne">
    <w:name w:val="line number"/>
    <w:basedOn w:val="Policepardfaut"/>
    <w:uiPriority w:val="99"/>
    <w:semiHidden w:val="1"/>
    <w:unhideWhenUsed w:val="1"/>
    <w:rsid w:val="00122C73"/>
    <w:rPr>
      <w:rFonts w:asciiTheme="majorHAnsi" w:hAnsiTheme="majorHAnsi"/>
      <w:sz w:val="15"/>
    </w:rPr>
  </w:style>
  <w:style w:type="paragraph" w:styleId="En-tte">
    <w:name w:val="header"/>
    <w:basedOn w:val="Normal"/>
    <w:link w:val="En-tteCar"/>
    <w:uiPriority w:val="99"/>
    <w:unhideWhenUsed w:val="1"/>
    <w:rsid w:val="000B629A"/>
    <w:pPr>
      <w:tabs>
        <w:tab w:val="center" w:pos="4536"/>
        <w:tab w:val="right" w:pos="9072"/>
      </w:tabs>
    </w:pPr>
  </w:style>
  <w:style w:type="character" w:styleId="En-tteCar" w:customStyle="1">
    <w:name w:val="En-tête Car"/>
    <w:basedOn w:val="Policepardfaut"/>
    <w:link w:val="En-tte"/>
    <w:uiPriority w:val="99"/>
    <w:rsid w:val="000B629A"/>
  </w:style>
  <w:style w:type="paragraph" w:styleId="Pieddepage">
    <w:name w:val="footer"/>
    <w:basedOn w:val="Normal"/>
    <w:link w:val="PieddepageCar"/>
    <w:uiPriority w:val="99"/>
    <w:unhideWhenUsed w:val="1"/>
    <w:rsid w:val="000B629A"/>
    <w:pPr>
      <w:tabs>
        <w:tab w:val="center" w:pos="4536"/>
        <w:tab w:val="right" w:pos="9072"/>
      </w:tabs>
    </w:pPr>
  </w:style>
  <w:style w:type="character" w:styleId="PieddepageCar" w:customStyle="1">
    <w:name w:val="Pied de page Car"/>
    <w:basedOn w:val="Policepardfaut"/>
    <w:link w:val="Pieddepage"/>
    <w:uiPriority w:val="99"/>
    <w:rsid w:val="000B629A"/>
  </w:style>
  <w:style w:type="paragraph" w:styleId="Notedebasdepage">
    <w:name w:val="footnote text"/>
    <w:basedOn w:val="Normal"/>
    <w:link w:val="NotedebasdepageCar"/>
    <w:uiPriority w:val="99"/>
    <w:semiHidden w:val="1"/>
    <w:unhideWhenUsed w:val="1"/>
    <w:rsid w:val="00122C73"/>
    <w:rPr>
      <w:sz w:val="18"/>
      <w:szCs w:val="20"/>
    </w:rPr>
  </w:style>
  <w:style w:type="character" w:styleId="NotedebasdepageCar" w:customStyle="1">
    <w:name w:val="Note de bas de page Car"/>
    <w:basedOn w:val="Policepardfaut"/>
    <w:link w:val="Notedebasdepage"/>
    <w:uiPriority w:val="99"/>
    <w:semiHidden w:val="1"/>
    <w:rsid w:val="00122C73"/>
    <w:rPr>
      <w:sz w:val="18"/>
      <w:szCs w:val="20"/>
    </w:rPr>
  </w:style>
  <w:style w:type="character" w:styleId="Appelnotedebasdep">
    <w:name w:val="footnote reference"/>
    <w:basedOn w:val="Policepardfaut"/>
    <w:uiPriority w:val="99"/>
    <w:semiHidden w:val="1"/>
    <w:unhideWhenUsed w:val="1"/>
    <w:rsid w:val="000B629A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 w:val="1"/>
    <w:unhideWhenUsed w:val="1"/>
    <w:rsid w:val="00982943"/>
    <w:rPr>
      <w:sz w:val="20"/>
      <w:szCs w:val="20"/>
    </w:rPr>
  </w:style>
  <w:style w:type="character" w:styleId="NotedefinCar" w:customStyle="1">
    <w:name w:val="Note de fin Car"/>
    <w:basedOn w:val="Policepardfaut"/>
    <w:link w:val="Notedefin"/>
    <w:uiPriority w:val="99"/>
    <w:semiHidden w:val="1"/>
    <w:rsid w:val="00982943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 w:val="1"/>
    <w:unhideWhenUsed w:val="1"/>
    <w:rsid w:val="00982943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 w:val="1"/>
    <w:unhideWhenUsed w:val="1"/>
    <w:rsid w:val="00122C73"/>
    <w:rPr>
      <w:rFonts w:ascii="Times New Roman" w:cs="Times New Roman" w:hAnsi="Times New Roman"/>
      <w:sz w:val="18"/>
      <w:szCs w:val="18"/>
    </w:rPr>
  </w:style>
  <w:style w:type="character" w:styleId="TextedebullesCar" w:customStyle="1">
    <w:name w:val="Texte de bulles Car"/>
    <w:basedOn w:val="Policepardfaut"/>
    <w:link w:val="Textedebulles"/>
    <w:uiPriority w:val="99"/>
    <w:semiHidden w:val="1"/>
    <w:rsid w:val="00122C73"/>
    <w:rPr>
      <w:rFonts w:ascii="Times New Roman" w:cs="Times New Roman" w:hAnsi="Times New Roman"/>
      <w:sz w:val="18"/>
      <w:szCs w:val="1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11" Type="http://schemas.openxmlformats.org/officeDocument/2006/relationships/font" Target="fonts/FiraSansLight-italic.ttf"/><Relationship Id="rId10" Type="http://schemas.openxmlformats.org/officeDocument/2006/relationships/font" Target="fonts/FiraSansLight-bold.ttf"/><Relationship Id="rId12" Type="http://schemas.openxmlformats.org/officeDocument/2006/relationships/font" Target="fonts/FiraSansLight-boldItalic.ttf"/><Relationship Id="rId9" Type="http://schemas.openxmlformats.org/officeDocument/2006/relationships/font" Target="fonts/FiraSansLight-regular.ttf"/><Relationship Id="rId5" Type="http://schemas.openxmlformats.org/officeDocument/2006/relationships/font" Target="fonts/FiraSans-regular.ttf"/><Relationship Id="rId6" Type="http://schemas.openxmlformats.org/officeDocument/2006/relationships/font" Target="fonts/FiraSans-bold.ttf"/><Relationship Id="rId7" Type="http://schemas.openxmlformats.org/officeDocument/2006/relationships/font" Target="fonts/FiraSans-italic.ttf"/><Relationship Id="rId8" Type="http://schemas.openxmlformats.org/officeDocument/2006/relationships/font" Target="fonts/FiraSa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6FwuaklfrIg4933/hKiWn/SfS4Q==">AMUW2mU4ICqAmoidftn5URzJVqEMq7LuNG2Em9MXxInw0IJciFY4CMwSNxX9MsVBNFXYGzLuPcL9mKIaQmtw14WLwot4a0SLKKhXAsko2JEFjDxC2JbbA5M=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2021-05-19T08:55:00Z</dcterms:created>
  <dc:creator>Céline Grauby</dc:creator>
</cp:coreProperties>
</file>